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D0E04" w14:textId="77777777" w:rsidR="00953EA4" w:rsidRPr="00953EA4" w:rsidRDefault="00953EA4" w:rsidP="00953EA4">
      <w:pPr>
        <w:spacing w:after="200"/>
        <w:jc w:val="right"/>
        <w:rPr>
          <w:rFonts w:ascii="Calibri" w:eastAsia="Calibri" w:hAnsi="Calibri" w:cs="Times New Roman"/>
          <w:sz w:val="22"/>
          <w:szCs w:val="22"/>
          <w:lang w:val="sk-SK"/>
        </w:rPr>
      </w:pPr>
      <w:r w:rsidRPr="00953EA4">
        <w:rPr>
          <w:rFonts w:ascii="Garamond" w:eastAsia="Garamond" w:hAnsi="Garamond" w:cs="Garamond"/>
          <w:b/>
          <w:sz w:val="20"/>
          <w:szCs w:val="22"/>
          <w:lang w:val="sk-SK"/>
        </w:rPr>
        <w:t>Príloha č. 1</w:t>
      </w:r>
    </w:p>
    <w:p w14:paraId="6ED515E6" w14:textId="77777777" w:rsidR="00661E40" w:rsidRDefault="00661E40" w:rsidP="00661E40">
      <w:pPr>
        <w:spacing w:after="120"/>
        <w:jc w:val="center"/>
        <w:rPr>
          <w:rFonts w:ascii="Garamond" w:eastAsia="Garamond" w:hAnsi="Garamond" w:cs="Garamond"/>
          <w:b/>
          <w:sz w:val="28"/>
        </w:rPr>
      </w:pPr>
    </w:p>
    <w:p w14:paraId="0479A357" w14:textId="77777777" w:rsidR="00661E40" w:rsidRDefault="00661E40" w:rsidP="00661E40">
      <w:pPr>
        <w:spacing w:after="120"/>
        <w:jc w:val="center"/>
        <w:rPr>
          <w:rFonts w:ascii="Garamond" w:eastAsia="Garamond" w:hAnsi="Garamond" w:cs="Garamond"/>
          <w:b/>
          <w:sz w:val="28"/>
        </w:rPr>
      </w:pPr>
    </w:p>
    <w:p w14:paraId="219BF1AF" w14:textId="7FB6020D" w:rsidR="00661E40" w:rsidRDefault="00661E40" w:rsidP="00661E40">
      <w:pPr>
        <w:spacing w:after="120"/>
        <w:jc w:val="center"/>
      </w:pPr>
      <w:r>
        <w:rPr>
          <w:rFonts w:ascii="Garamond" w:eastAsia="Garamond" w:hAnsi="Garamond" w:cs="Garamond"/>
          <w:b/>
          <w:sz w:val="28"/>
        </w:rPr>
        <w:t>OPIS PREDMETU ZÁKAZKY</w:t>
      </w:r>
    </w:p>
    <w:p w14:paraId="76938776" w14:textId="77777777" w:rsidR="00661E40" w:rsidRDefault="00661E40" w:rsidP="00661E40">
      <w:pPr>
        <w:spacing w:after="280"/>
        <w:jc w:val="center"/>
      </w:pPr>
      <w:r>
        <w:rPr>
          <w:rFonts w:ascii="Garamond" w:eastAsia="Garamond" w:hAnsi="Garamond" w:cs="Garamond"/>
          <w:b/>
          <w:sz w:val="23"/>
        </w:rPr>
        <w:t>Revízie a skúšky elektrických zariadení – tri samostatné časti</w:t>
      </w:r>
    </w:p>
    <w:p w14:paraId="14C09F40" w14:textId="77777777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>Každá z nasledujúcich častí je samostatným predmetom ocenenia a vyhodnotenia. Uchádzač predloží cenu iba za časti, ktoré ponúka. Podrobné položkové počty v prílohe č. 2 a umiestnenia zariadení v prílohe č. 1A sú záväzným podkladom na nacenenie.</w:t>
      </w:r>
    </w:p>
    <w:p w14:paraId="3CAA0496" w14:textId="77777777" w:rsidR="00661E40" w:rsidRDefault="00661E40" w:rsidP="00661E40">
      <w:pPr>
        <w:keepNext/>
        <w:spacing w:before="200" w:after="100"/>
      </w:pPr>
      <w:r>
        <w:rPr>
          <w:rFonts w:ascii="Garamond" w:eastAsia="Garamond" w:hAnsi="Garamond" w:cs="Garamond"/>
          <w:b/>
        </w:rPr>
        <w:t>1  Elektrické revízie zdvíhacích zariadení</w:t>
      </w:r>
    </w:p>
    <w:p w14:paraId="617EBA05" w14:textId="77777777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>Predmetom je vykonanie elektrických revízií zdvíhacích zariadení v správe DPB podľa zákona č. 513/2009 Z. z. o dráhach a vyhlášky č. 205/2010 Z. z. v rozsahu uvedenom pri jednotlivých zariadeniach. Zoznam 89 zariadení s majetkovými číslami, prevádzkou, miestom a zaradením E2 alebo E2/E13 je súčasťou listu „Časť 1“ prílohy č. 2.</w:t>
      </w:r>
    </w:p>
    <w:p w14:paraId="55B32F40" w14:textId="77777777" w:rsidR="00661E40" w:rsidRDefault="00661E40" w:rsidP="00661E40">
      <w:pPr>
        <w:spacing w:after="80"/>
        <w:jc w:val="both"/>
        <w:rPr>
          <w:rFonts w:ascii="Garamond" w:eastAsia="Garamond" w:hAnsi="Garamond" w:cs="Garamond"/>
          <w:sz w:val="21"/>
        </w:rPr>
      </w:pPr>
      <w:r>
        <w:rPr>
          <w:rFonts w:ascii="Garamond" w:eastAsia="Garamond" w:hAnsi="Garamond" w:cs="Garamond"/>
          <w:sz w:val="21"/>
        </w:rPr>
        <w:t>Uchádzač zabezpečí odborne spôsobilú osobu, potrebné merania a kontrolu, vyhotoví a odovzdá písomné doklady o vykonaní revízie identifikujúce dotknuté zariadenia a výsledok. Jednotková cena pri každom zariadení zahŕňa celý výkon vrátane dopravy a odovzdania dokladov. Plnenie sa vykoná na miestach pri zariadeniach v prílohe č. 2; termín dokončenia a odovzdania je 30. 11. 2026.</w:t>
      </w:r>
    </w:p>
    <w:p w14:paraId="71389591" w14:textId="77777777" w:rsidR="00E95BDF" w:rsidRDefault="00E95BDF" w:rsidP="00661E40">
      <w:pPr>
        <w:spacing w:after="80"/>
        <w:jc w:val="both"/>
      </w:pPr>
    </w:p>
    <w:p w14:paraId="5628977F" w14:textId="322508D0" w:rsidR="00661E40" w:rsidRDefault="00661E40" w:rsidP="00661E40">
      <w:pPr>
        <w:keepNext/>
        <w:spacing w:before="200" w:after="100"/>
      </w:pPr>
      <w:r>
        <w:rPr>
          <w:rFonts w:ascii="Garamond" w:eastAsia="Garamond" w:hAnsi="Garamond" w:cs="Garamond"/>
          <w:b/>
        </w:rPr>
        <w:t xml:space="preserve">2  </w:t>
      </w:r>
      <w:r w:rsidR="005C5187">
        <w:rPr>
          <w:rFonts w:ascii="Garamond" w:eastAsia="Garamond" w:hAnsi="Garamond" w:cs="Garamond"/>
          <w:b/>
        </w:rPr>
        <w:t>Odborné prehliadky a</w:t>
      </w:r>
      <w:r>
        <w:rPr>
          <w:rFonts w:ascii="Garamond" w:eastAsia="Garamond" w:hAnsi="Garamond" w:cs="Garamond"/>
          <w:b/>
        </w:rPr>
        <w:t xml:space="preserve"> skúšky elektrobusov</w:t>
      </w:r>
    </w:p>
    <w:p w14:paraId="6E48B688" w14:textId="621BE626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>Predmetom je vykonanie 42 periodických a 6 predpokladaných mimoperiodických odborných prehliadok a odborných skúšok elektrickej výzbroje elektrobusov v depe Krasňany počas 24 mesiacov od nadobudnutia účinnosti rámcovej dohody, na základe čiastkových písomných objednávok. Členenie výkonov podľa typu vozidla je uvedené v nasledujúcich tabuľkách.</w:t>
      </w:r>
    </w:p>
    <w:tbl>
      <w:tblPr>
        <w:tblW w:w="9071" w:type="dxa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1871"/>
      </w:tblGrid>
      <w:tr w:rsidR="00927085" w14:paraId="4801D764" w14:textId="77777777" w:rsidTr="00BA1C9B">
        <w:trPr>
          <w:cantSplit/>
          <w:jc w:val="center"/>
        </w:trPr>
        <w:tc>
          <w:tcPr>
            <w:tcW w:w="9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BF563" w14:textId="45B31C4E" w:rsidR="00927085" w:rsidRDefault="00927085" w:rsidP="007C2CB3">
            <w:pPr>
              <w:spacing w:before="20" w:after="20"/>
              <w:rPr>
                <w:rFonts w:ascii="Garamond" w:eastAsia="Garamond" w:hAnsi="Garamond" w:cs="Garamond"/>
                <w:b/>
                <w:sz w:val="19"/>
              </w:rPr>
            </w:pPr>
            <w:r>
              <w:rPr>
                <w:rFonts w:ascii="Garamond" w:eastAsia="Garamond" w:hAnsi="Garamond" w:cs="Garamond"/>
                <w:b/>
                <w:sz w:val="19"/>
              </w:rPr>
              <w:t>Periodické prehliadky a skúšky za 24 mesiacov</w:t>
            </w:r>
          </w:p>
        </w:tc>
      </w:tr>
      <w:tr w:rsidR="00661E40" w14:paraId="2FA74B1F" w14:textId="77777777" w:rsidTr="00927085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8F5F9C" w14:textId="164720B2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Typ vozidla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53EC90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Počet výkonov</w:t>
            </w:r>
          </w:p>
        </w:tc>
      </w:tr>
      <w:tr w:rsidR="00661E40" w14:paraId="08F4C979" w14:textId="77777777" w:rsidTr="00927085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F9B303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SOR ENS 12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555041" w14:textId="61DD01B8" w:rsidR="00661E40" w:rsidRDefault="00927085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32</w:t>
            </w:r>
          </w:p>
        </w:tc>
      </w:tr>
      <w:tr w:rsidR="00661E40" w14:paraId="73B95CEB" w14:textId="77777777" w:rsidTr="00927085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E1E41A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SOR EBN 8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F87550" w14:textId="3BDB654F" w:rsidR="00661E40" w:rsidRDefault="00927085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4</w:t>
            </w:r>
          </w:p>
        </w:tc>
      </w:tr>
      <w:tr w:rsidR="00661E40" w14:paraId="09D94892" w14:textId="77777777" w:rsidTr="00927085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2EA1ED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Otokar e-Kent C 12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D06D2FE" w14:textId="72EFA713" w:rsidR="00661E40" w:rsidRDefault="00927085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6</w:t>
            </w:r>
          </w:p>
        </w:tc>
      </w:tr>
      <w:tr w:rsidR="00661E40" w14:paraId="0C6A6FAD" w14:textId="77777777" w:rsidTr="00927085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C1CAE6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Spolu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91CCCB" w14:textId="28236C37" w:rsidR="00661E40" w:rsidRDefault="00927085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42</w:t>
            </w:r>
          </w:p>
        </w:tc>
      </w:tr>
    </w:tbl>
    <w:p w14:paraId="6A4AF0EC" w14:textId="77777777" w:rsidR="00661E40" w:rsidRDefault="00661E40" w:rsidP="00661E40">
      <w:pPr>
        <w:spacing w:after="80"/>
        <w:jc w:val="both"/>
      </w:pPr>
      <w:r>
        <w:rPr>
          <w:rFonts w:ascii="Garamond" w:hAnsi="Garamond"/>
          <w:sz w:val="20"/>
        </w:rPr>
        <w:t>Množstvá sú počty výkonov za celé dvojročné obdobie, nie počty rôznych elektrobusov. Periodické výkony zodpovedajú dvom ročným cyklom pre pôvodných 21 vozidiel (16 SOR ENS 12, 2 SOR EBN 8 a 3 Otokar e-Kent C 12); už sa nenásobia dvoma.</w:t>
      </w:r>
    </w:p>
    <w:tbl>
      <w:tblPr>
        <w:tblW w:w="9071" w:type="dxa"/>
        <w:jc w:val="center"/>
        <w:tblLayout w:type="fixed"/>
        <w:tblLook w:val="04A0" w:firstRow="1" w:lastRow="0" w:firstColumn="1" w:lastColumn="0" w:noHBand="0" w:noVBand="1"/>
      </w:tblPr>
      <w:tblGrid>
        <w:gridCol w:w="7200"/>
        <w:gridCol w:w="1871"/>
      </w:tblGrid>
      <w:tr w:rsidR="00927085" w14:paraId="22EA34DE" w14:textId="77777777" w:rsidTr="005172BC">
        <w:trPr>
          <w:cantSplit/>
          <w:jc w:val="center"/>
        </w:trPr>
        <w:tc>
          <w:tcPr>
            <w:tcW w:w="907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198403" w14:textId="40ED6356" w:rsidR="00927085" w:rsidRDefault="00927085" w:rsidP="005172BC">
            <w:pPr>
              <w:spacing w:before="20" w:after="20"/>
              <w:rPr>
                <w:rFonts w:ascii="Garamond" w:eastAsia="Garamond" w:hAnsi="Garamond" w:cs="Garamond"/>
                <w:b/>
                <w:sz w:val="19"/>
              </w:rPr>
            </w:pPr>
            <w:r>
              <w:rPr>
                <w:rFonts w:ascii="Garamond" w:eastAsia="Garamond" w:hAnsi="Garamond" w:cs="Garamond"/>
                <w:b/>
                <w:sz w:val="19"/>
              </w:rPr>
              <w:t>Mimoperiodické prehliadky a skúšky za 24 mesiacov</w:t>
            </w:r>
          </w:p>
        </w:tc>
      </w:tr>
      <w:tr w:rsidR="00927085" w14:paraId="20A5FF9B" w14:textId="77777777" w:rsidTr="005172BC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FAF0F5" w14:textId="77777777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Typ vozidla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EFAA557" w14:textId="77777777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Počet výkonov</w:t>
            </w:r>
          </w:p>
        </w:tc>
      </w:tr>
      <w:tr w:rsidR="00927085" w14:paraId="53545083" w14:textId="77777777" w:rsidTr="005172BC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B4BA0AC" w14:textId="77777777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SOR ENS 12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F5FA546" w14:textId="40AC431F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4</w:t>
            </w:r>
          </w:p>
        </w:tc>
      </w:tr>
      <w:tr w:rsidR="00927085" w14:paraId="06F20342" w14:textId="77777777" w:rsidTr="005172BC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4A18283" w14:textId="77777777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SOR EBN 8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318BC06" w14:textId="7B790F8E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1</w:t>
            </w:r>
          </w:p>
        </w:tc>
      </w:tr>
      <w:tr w:rsidR="00927085" w14:paraId="3489B7FA" w14:textId="77777777" w:rsidTr="005172BC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D739C9F" w14:textId="77777777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Otokar e-Kent C 12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4C4898" w14:textId="0CA832D5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1</w:t>
            </w:r>
          </w:p>
        </w:tc>
      </w:tr>
      <w:tr w:rsidR="00927085" w14:paraId="7D5772A9" w14:textId="77777777" w:rsidTr="005172BC">
        <w:trPr>
          <w:cantSplit/>
          <w:jc w:val="center"/>
        </w:trPr>
        <w:tc>
          <w:tcPr>
            <w:tcW w:w="7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63B39C" w14:textId="77777777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Spolu</w:t>
            </w:r>
          </w:p>
        </w:tc>
        <w:tc>
          <w:tcPr>
            <w:tcW w:w="1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EE2D94" w14:textId="59E0C151" w:rsidR="00927085" w:rsidRDefault="00927085" w:rsidP="005172BC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6</w:t>
            </w:r>
          </w:p>
        </w:tc>
      </w:tr>
    </w:tbl>
    <w:p w14:paraId="612DE791" w14:textId="77777777" w:rsidR="00927085" w:rsidRDefault="00927085" w:rsidP="00661E40">
      <w:pPr>
        <w:spacing w:after="80"/>
        <w:jc w:val="both"/>
      </w:pPr>
      <w:r>
        <w:rPr>
          <w:rFonts w:ascii="Garamond" w:hAnsi="Garamond"/>
          <w:sz w:val="20"/>
        </w:rPr>
        <w:t>Mimoperiodický výkon je opakovaná revízia po oprave nedostatkov zistených pri predchádzajúcej revízii, najmä pri nevyhovujúcom izolačnom stave. Zahŕňa overenie odstránenia nedostatkov a potrebné prehliadky, merania a skúšky na posúdenie bezpečnosti elektrickej výzbroje podľa príslušných predpisov, noriem a dokumentácie vozidla. Výstupom každého výkonu je revízna správa s výsledkom, aj pri nevyhovujúcom stave. Opravy vozidiel nie sú predmetom zákazky.</w:t>
      </w:r>
    </w:p>
    <w:p w14:paraId="58098CF6" w14:textId="0FE91FB9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 xml:space="preserve">Ide o nízkopodlažné cestné elektrobusy s trakčnými batériami. </w:t>
      </w:r>
      <w:r w:rsidR="00927085">
        <w:rPr>
          <w:rFonts w:ascii="Garamond" w:eastAsia="Garamond" w:hAnsi="Garamond" w:cs="Garamond"/>
          <w:sz w:val="21"/>
        </w:rPr>
        <w:t>Vozidlá sú vybavené</w:t>
      </w:r>
      <w:r>
        <w:rPr>
          <w:rFonts w:ascii="Garamond" w:eastAsia="Garamond" w:hAnsi="Garamond" w:cs="Garamond"/>
          <w:sz w:val="21"/>
        </w:rPr>
        <w:t xml:space="preserve"> vozidlový</w:t>
      </w:r>
      <w:r w:rsidR="00927085">
        <w:rPr>
          <w:rFonts w:ascii="Garamond" w:eastAsia="Garamond" w:hAnsi="Garamond" w:cs="Garamond"/>
          <w:sz w:val="21"/>
        </w:rPr>
        <w:t>m</w:t>
      </w:r>
      <w:r>
        <w:rPr>
          <w:rFonts w:ascii="Garamond" w:eastAsia="Garamond" w:hAnsi="Garamond" w:cs="Garamond"/>
          <w:sz w:val="21"/>
        </w:rPr>
        <w:t xml:space="preserve"> akumulátor</w:t>
      </w:r>
      <w:r w:rsidR="00927085">
        <w:rPr>
          <w:rFonts w:ascii="Garamond" w:eastAsia="Garamond" w:hAnsi="Garamond" w:cs="Garamond"/>
          <w:sz w:val="21"/>
        </w:rPr>
        <w:t>om</w:t>
      </w:r>
      <w:r>
        <w:rPr>
          <w:rFonts w:ascii="Garamond" w:eastAsia="Garamond" w:hAnsi="Garamond" w:cs="Garamond"/>
          <w:sz w:val="21"/>
        </w:rPr>
        <w:t xml:space="preserve"> 24 V DC; rozvodné sústavy 2–666 V DC IT, 3 × 425 V AC (0–200 Hz) IT, 3 × 400 V AC 50 Hz IT, 3 × 400/230 V AC 50 Hz TN-S a ovládacie obvody 2–24 V DC IT. Uvedené technické údaje slúžia na prípravu výkonu a uchádzač si pri realizácii overí dokumentáciu konkrétneho typu vozidla.</w:t>
      </w:r>
    </w:p>
    <w:p w14:paraId="0171A38B" w14:textId="7CDAF13C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>Prehliadka a skúška sa vykoná podľa platných a na elektrickú výzbroj konkrétneho vozidla aplikovateľných právnych predpisov a technických noriem. Východiskový opis odkazuje na vyhlášku č. 508/2009 Z. z. a STN 33 1500. DPB pri pristavení vozidla poskytne dostupný protokol o určení vonkajších vplyvov, základnú líniovú schému zapojenia, východiskovú revíznu správu a dostupné vyhlásenia o zhode, certifikáty a protokoly kusových skúšok.</w:t>
      </w:r>
    </w:p>
    <w:p w14:paraId="7F9BCDBB" w14:textId="2E4DD359" w:rsidR="00661E40" w:rsidRDefault="00661E40" w:rsidP="00661E40">
      <w:pPr>
        <w:spacing w:after="80"/>
        <w:jc w:val="both"/>
        <w:rPr>
          <w:rFonts w:ascii="Garamond" w:eastAsia="Garamond" w:hAnsi="Garamond" w:cs="Garamond"/>
          <w:sz w:val="21"/>
        </w:rPr>
      </w:pPr>
      <w:r>
        <w:rPr>
          <w:rFonts w:ascii="Garamond" w:eastAsia="Garamond" w:hAnsi="Garamond" w:cs="Garamond"/>
          <w:sz w:val="21"/>
        </w:rPr>
        <w:t>Cena za jeden výkon zahŕňa dopravu, prácu technika, merania a skúšky a originál revíznej správy v listinnej forme. Oba druhy výkonov sa oceňujú samostatne podľa typu vozidla v liste „Časť 2 – elektrobusy“ prílohy č. 2; do hodnotenia sa zahrnú všetky uvedené množstvá. Plnenie, prevzatie a fakturácia prebiehajú podľa čiastkových objednávok v súlade s výzvou a rámcovou dohodou. Uhradia sa iba objednané a vykonané služby; plné vyčerpanie mimoperiodických výkonov nie je zaručené.</w:t>
      </w:r>
    </w:p>
    <w:p w14:paraId="70584C36" w14:textId="77777777" w:rsidR="00E95BDF" w:rsidRDefault="00E95BDF" w:rsidP="00661E40">
      <w:pPr>
        <w:spacing w:after="80"/>
        <w:jc w:val="both"/>
      </w:pPr>
    </w:p>
    <w:p w14:paraId="17306EA8" w14:textId="77777777" w:rsidR="00661E40" w:rsidRDefault="00661E40" w:rsidP="00661E40">
      <w:pPr>
        <w:keepNext/>
        <w:spacing w:before="200" w:after="100"/>
      </w:pPr>
      <w:r>
        <w:rPr>
          <w:rFonts w:ascii="Garamond" w:eastAsia="Garamond" w:hAnsi="Garamond" w:cs="Garamond"/>
          <w:b/>
        </w:rPr>
        <w:t>3  Revízie elektrického ručného náradia a spotrebičov</w:t>
      </w:r>
    </w:p>
    <w:p w14:paraId="3811DB74" w14:textId="77777777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>Predmetom je vykonanie pravidelných revízií, skúšok a prehliadok elektrického ručného náradia a spotrebičov v správe DPB podľa zákona č. 124/2006 Z. z., vyhlášky č. 508/2009 Z. z., zákona č. 513/2009 Z. z. a vyhlášky č. 205/2010 Z. z. podľa zaradenia strediska a zariadenia. Súhrnná výmera je 306 kusov; podrobný zoznam zariadení a stredísk tvorí prílohu č. 1A.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1559"/>
        <w:gridCol w:w="1559"/>
        <w:gridCol w:w="1559"/>
        <w:gridCol w:w="1559"/>
      </w:tblGrid>
      <w:tr w:rsidR="00661E40" w14:paraId="68BE2522" w14:textId="77777777" w:rsidTr="007C2CB3">
        <w:trPr>
          <w:cantSplit/>
          <w:jc w:val="center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1CC25D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Právny režim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593FBB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Elektrické náradie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CEEA986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Spotrebiče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EA4330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Ručné náradie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20432E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b/>
                <w:sz w:val="19"/>
              </w:rPr>
              <w:t>Spolu</w:t>
            </w:r>
          </w:p>
        </w:tc>
      </w:tr>
      <w:tr w:rsidR="00661E40" w14:paraId="6705B303" w14:textId="77777777" w:rsidTr="007C2CB3">
        <w:trPr>
          <w:cantSplit/>
          <w:jc w:val="center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378FE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Vyhláška 508/2009 Z. z.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659AD6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FF1F987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21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0FE9E90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0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15D128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21</w:t>
            </w:r>
          </w:p>
        </w:tc>
      </w:tr>
      <w:tr w:rsidR="00661E40" w14:paraId="5F3F98C1" w14:textId="77777777" w:rsidTr="007C2CB3">
        <w:trPr>
          <w:cantSplit/>
          <w:jc w:val="center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0B15EDE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Vyhláška 205/2010 Z. z.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915041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4C08CC7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277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58CD9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65969DF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285</w:t>
            </w:r>
          </w:p>
        </w:tc>
      </w:tr>
      <w:tr w:rsidR="00661E40" w14:paraId="766BA221" w14:textId="77777777" w:rsidTr="007C2CB3">
        <w:trPr>
          <w:cantSplit/>
          <w:jc w:val="center"/>
        </w:trPr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5D410FC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Spolu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C6A76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5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AD25AE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298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8B64DF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A97E9F" w14:textId="77777777" w:rsidR="00661E40" w:rsidRDefault="00661E40" w:rsidP="007C2CB3">
            <w:pPr>
              <w:spacing w:before="20" w:after="20"/>
            </w:pPr>
            <w:r>
              <w:rPr>
                <w:rFonts w:ascii="Garamond" w:eastAsia="Garamond" w:hAnsi="Garamond" w:cs="Garamond"/>
                <w:sz w:val="19"/>
              </w:rPr>
              <w:t>306</w:t>
            </w:r>
          </w:p>
        </w:tc>
      </w:tr>
    </w:tbl>
    <w:p w14:paraId="1A37BC4F" w14:textId="77777777" w:rsidR="00661E40" w:rsidRDefault="00661E40" w:rsidP="00661E40">
      <w:pPr>
        <w:jc w:val="both"/>
      </w:pPr>
    </w:p>
    <w:p w14:paraId="673FE0F6" w14:textId="77777777" w:rsidR="00661E40" w:rsidRDefault="00661E40" w:rsidP="00661E40">
      <w:pPr>
        <w:keepNext/>
        <w:spacing w:before="140" w:after="100"/>
      </w:pPr>
      <w:r>
        <w:rPr>
          <w:rFonts w:ascii="Garamond" w:eastAsia="Garamond" w:hAnsi="Garamond" w:cs="Garamond"/>
          <w:b/>
        </w:rPr>
        <w:t>Strediská a právny režim v časti 3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07"/>
        <w:gridCol w:w="4025"/>
        <w:gridCol w:w="1928"/>
        <w:gridCol w:w="2211"/>
      </w:tblGrid>
      <w:tr w:rsidR="00661E40" w14:paraId="0DD9EB32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8A63B66" w14:textId="77777777" w:rsidR="00661E40" w:rsidRDefault="00661E40" w:rsidP="007C2CB3">
            <w:r>
              <w:rPr>
                <w:rFonts w:ascii="Garamond" w:eastAsia="Garamond" w:hAnsi="Garamond" w:cs="Garamond"/>
                <w:b/>
                <w:sz w:val="16"/>
              </w:rPr>
              <w:t>Kód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C417F76" w14:textId="77777777" w:rsidR="00661E40" w:rsidRDefault="00661E40" w:rsidP="007C2CB3">
            <w:r>
              <w:rPr>
                <w:rFonts w:ascii="Garamond" w:eastAsia="Garamond" w:hAnsi="Garamond" w:cs="Garamond"/>
                <w:b/>
                <w:sz w:val="16"/>
              </w:rPr>
              <w:t>Názov strediska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C3AFAE" w14:textId="77777777" w:rsidR="00661E40" w:rsidRDefault="00661E40" w:rsidP="007C2CB3">
            <w:r>
              <w:rPr>
                <w:rFonts w:ascii="Garamond" w:eastAsia="Garamond" w:hAnsi="Garamond" w:cs="Garamond"/>
                <w:b/>
                <w:sz w:val="16"/>
              </w:rPr>
              <w:t>Miesto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9376992" w14:textId="77777777" w:rsidR="00661E40" w:rsidRDefault="00661E40" w:rsidP="007C2CB3">
            <w:r>
              <w:rPr>
                <w:rFonts w:ascii="Garamond" w:eastAsia="Garamond" w:hAnsi="Garamond" w:cs="Garamond"/>
                <w:b/>
                <w:sz w:val="16"/>
              </w:rPr>
              <w:t>Vyhláška</w:t>
            </w:r>
          </w:p>
        </w:tc>
      </w:tr>
      <w:tr w:rsidR="00661E40" w14:paraId="30B8EB2E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2098E1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5220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995E707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Stredisko ľahkej údržby električiek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6CCB19D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Jurajov dvor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5C6A51D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3E69F0DE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230C8B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5400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A4F940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Stredisko údržby električiek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FAF466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Jurajov dvor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57ED97B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1E012A02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4A3C6F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5522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FD2241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Údržba trolejbusov Trnávka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517C65E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Jurajov dvor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C21F6AD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2F58BA4D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DB55C6E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6620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A7A94D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Odbor zásobovania a skladového hospodárstva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6B16F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Jurajov dvor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A1CD95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26F2805A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9EFE865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6630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3B37563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Oddelenie skladového hospodárstva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AB12D6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Jurajov dvor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BFE543D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26924EE2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032CE84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7213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298547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1. stredisko údržby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EAE123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Jurajov dvor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CBEEBB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17A6B9EB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5E8EA80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7223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3790564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2. stredisko údržby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D0C5D0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Jurajov dvor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419966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772F6E7B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373A5E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5521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C72BB9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Údržba trolejbusov Hroboňova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E5308C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Hroboňova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D844A9F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443BE3D2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1AE51C7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5320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7842B1D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Stredisko ľahkej údržby Krasňany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476E010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Krasňany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F7E8833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205/2010 Z. z.</w:t>
            </w:r>
          </w:p>
        </w:tc>
      </w:tr>
      <w:tr w:rsidR="00661E40" w14:paraId="5A4C5F35" w14:textId="77777777" w:rsidTr="007C2CB3">
        <w:trPr>
          <w:cantSplit/>
          <w:jc w:val="center"/>
        </w:trPr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9FBA38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7233</w:t>
            </w:r>
          </w:p>
        </w:tc>
        <w:tc>
          <w:tcPr>
            <w:tcW w:w="4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7C266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3. stredisko údržby</w:t>
            </w:r>
          </w:p>
        </w:tc>
        <w:tc>
          <w:tcPr>
            <w:tcW w:w="19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A9848B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Petržalka</w:t>
            </w:r>
          </w:p>
        </w:tc>
        <w:tc>
          <w:tcPr>
            <w:tcW w:w="22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84E98E5" w14:textId="77777777" w:rsidR="00661E40" w:rsidRDefault="00661E40" w:rsidP="007C2CB3">
            <w:r>
              <w:rPr>
                <w:rFonts w:ascii="Garamond" w:eastAsia="Garamond" w:hAnsi="Garamond" w:cs="Garamond"/>
                <w:sz w:val="16"/>
              </w:rPr>
              <w:t>508/2009 Z. z.</w:t>
            </w:r>
          </w:p>
        </w:tc>
      </w:tr>
    </w:tbl>
    <w:p w14:paraId="7D9A099D" w14:textId="77777777" w:rsidR="00953EA4" w:rsidRDefault="00953EA4" w:rsidP="00661E40">
      <w:pPr>
        <w:spacing w:before="60" w:after="100"/>
        <w:jc w:val="both"/>
        <w:rPr>
          <w:rFonts w:ascii="Garamond" w:eastAsia="Garamond" w:hAnsi="Garamond" w:cs="Garamond"/>
          <w:sz w:val="19"/>
        </w:rPr>
      </w:pPr>
    </w:p>
    <w:p w14:paraId="3EED622D" w14:textId="55461B81" w:rsidR="00661E40" w:rsidRDefault="00661E40" w:rsidP="00661E40">
      <w:pPr>
        <w:spacing w:before="60" w:after="100"/>
        <w:jc w:val="both"/>
      </w:pPr>
      <w:r>
        <w:rPr>
          <w:rFonts w:ascii="Garamond" w:eastAsia="Garamond" w:hAnsi="Garamond" w:cs="Garamond"/>
          <w:sz w:val="19"/>
        </w:rPr>
        <w:t>Kódy zodpovedajú stĺpcom v prílohe č. 1A. Pre strediská napájané z trakčného vedenia sa v podkladoch uvádza vyhláška č. 205/2010 Z. z.; pre depo Petržalka vyhláška č. 508/2009 Z. z.</w:t>
      </w:r>
    </w:p>
    <w:p w14:paraId="33DC1DBB" w14:textId="77777777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>Elektrické revízie a merania sa vykonajú v súlade s platnými predpismi a príslušnými technickými normami, najmä STN 33 1630 a STN EN 50699 v rozsahu, v akom sa na dané zariadenie vzťahujú. Každé zariadenie sa fyzicky označí čitateľným revíznym štítkom. Uchádzač odovzdá aspoň jeden papierový originál revíznej správy a jej elektronickú podobu vo formáte PDF.</w:t>
      </w:r>
    </w:p>
    <w:p w14:paraId="1E6D706B" w14:textId="77777777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>Revízna správa môže byť individuálna alebo spoločná pre skupinu zariadení, iba ak majú rovnakú lehotu revízie a nachádzajú sa v tom istom stredisku. Správa musí uviesť platnosť revízie; zariadenia z rôznych stredísk alebo s rôznymi lehotami sa v jednej skupinovej správe nespájajú. Prenosné zariadenia budú podľa možností sústredené na jednom mieste v lokalite, stacionárne spotrebiče sa kontrolujú na mieste ich používania.</w:t>
      </w:r>
    </w:p>
    <w:p w14:paraId="677E7869" w14:textId="77777777" w:rsidR="00661E40" w:rsidRDefault="00661E40" w:rsidP="00661E40">
      <w:pPr>
        <w:spacing w:after="80"/>
        <w:jc w:val="both"/>
      </w:pPr>
      <w:r>
        <w:rPr>
          <w:rFonts w:ascii="Garamond" w:eastAsia="Garamond" w:hAnsi="Garamond" w:cs="Garamond"/>
          <w:sz w:val="21"/>
        </w:rPr>
        <w:t>Ocenenie podľa štyroch položkových skupín je v liste „Časť 3“ prílohy č. 2. Jednotkové ceny zahŕňajú všetky uvedené činnosti, štítky, správy a dopravu. Plnenie sa dokončí a odovzdá najneskôr 30. 11. 2026.</w:t>
      </w:r>
    </w:p>
    <w:p w14:paraId="5344A4A3" w14:textId="06AC789E" w:rsidR="001D3D5B" w:rsidRPr="00661E40" w:rsidRDefault="001D3D5B" w:rsidP="00661E40"/>
    <w:sectPr w:rsidR="001D3D5B" w:rsidRPr="00661E40" w:rsidSect="00594556">
      <w:headerReference w:type="default" r:id="rId7"/>
      <w:footerReference w:type="default" r:id="rId8"/>
      <w:pgSz w:w="11900" w:h="16840"/>
      <w:pgMar w:top="1417" w:right="1552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63EF6" w14:textId="77777777" w:rsidR="002C3744" w:rsidRDefault="002C3744" w:rsidP="00FC69EE">
      <w:r>
        <w:separator/>
      </w:r>
    </w:p>
  </w:endnote>
  <w:endnote w:type="continuationSeparator" w:id="0">
    <w:p w14:paraId="111738A9" w14:textId="77777777" w:rsidR="002C3744" w:rsidRDefault="002C3744" w:rsidP="00FC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Roboto Thin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939FD" w14:textId="7C79C17A" w:rsidR="00FC69EE" w:rsidRPr="00B15557" w:rsidRDefault="00E82CE8" w:rsidP="00E82CE8">
    <w:pPr>
      <w:pStyle w:val="Pta"/>
      <w:tabs>
        <w:tab w:val="clear" w:pos="9072"/>
        <w:tab w:val="right" w:pos="9066"/>
      </w:tabs>
      <w:ind w:left="-426"/>
    </w:pPr>
    <w:r w:rsidRPr="00E82CE8">
      <w:rPr>
        <w:noProof/>
      </w:rPr>
      <w:drawing>
        <wp:inline distT="0" distB="0" distL="0" distR="0" wp14:anchorId="1A2812B2" wp14:editId="16F98629">
          <wp:extent cx="6110515" cy="644348"/>
          <wp:effectExtent l="0" t="0" r="0" b="3810"/>
          <wp:docPr id="1398240777" name="Obrázok 13982407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42094" cy="6582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277EB" w14:textId="77777777" w:rsidR="002C3744" w:rsidRDefault="002C3744" w:rsidP="00FC69EE">
      <w:r>
        <w:separator/>
      </w:r>
    </w:p>
  </w:footnote>
  <w:footnote w:type="continuationSeparator" w:id="0">
    <w:p w14:paraId="0C8D70CF" w14:textId="77777777" w:rsidR="002C3744" w:rsidRDefault="002C3744" w:rsidP="00FC6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291379" w14:textId="0E50BA1E" w:rsidR="00FC69EE" w:rsidRPr="00FC69EE" w:rsidRDefault="00E82CE8" w:rsidP="00594556">
    <w:pPr>
      <w:pStyle w:val="Hlavika"/>
      <w:tabs>
        <w:tab w:val="clear" w:pos="9072"/>
      </w:tabs>
      <w:ind w:right="-6"/>
      <w:rPr>
        <w:rFonts w:ascii="Roboto Thin" w:hAnsi="Roboto Thin"/>
        <w:sz w:val="48"/>
        <w:szCs w:val="48"/>
        <w:lang w:val="sk-SK"/>
      </w:rPr>
    </w:pPr>
    <w:r w:rsidRPr="00E82CE8">
      <w:rPr>
        <w:rFonts w:ascii="Roboto Thin" w:hAnsi="Roboto Thin"/>
        <w:noProof/>
        <w:sz w:val="48"/>
        <w:szCs w:val="48"/>
        <w:lang w:val="sk-SK"/>
      </w:rPr>
      <w:drawing>
        <wp:inline distT="0" distB="0" distL="0" distR="0" wp14:anchorId="4A00C69F" wp14:editId="472F4216">
          <wp:extent cx="6033356" cy="329419"/>
          <wp:effectExtent l="0" t="0" r="0" b="1270"/>
          <wp:docPr id="989945026" name="Obrázok 9899450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83182" cy="348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DB1"/>
    <w:multiLevelType w:val="hybridMultilevel"/>
    <w:tmpl w:val="5C88495C"/>
    <w:lvl w:ilvl="0" w:tplc="C4B62C9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772AE"/>
    <w:multiLevelType w:val="multilevel"/>
    <w:tmpl w:val="89AAD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A7718"/>
    <w:multiLevelType w:val="multilevel"/>
    <w:tmpl w:val="54104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1D264E"/>
    <w:multiLevelType w:val="multilevel"/>
    <w:tmpl w:val="653E8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C752A7"/>
    <w:multiLevelType w:val="hybridMultilevel"/>
    <w:tmpl w:val="E8E4F0CA"/>
    <w:lvl w:ilvl="0" w:tplc="E49E0728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8470B7A"/>
    <w:multiLevelType w:val="multilevel"/>
    <w:tmpl w:val="3E62C71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i w:val="0"/>
        <w:iCs/>
      </w:rPr>
    </w:lvl>
    <w:lvl w:ilvl="1">
      <w:start w:val="1"/>
      <w:numFmt w:val="decimal"/>
      <w:lvlText w:val="%1.%2."/>
      <w:lvlJc w:val="left"/>
      <w:pPr>
        <w:ind w:left="858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EB36CC0"/>
    <w:multiLevelType w:val="hybridMultilevel"/>
    <w:tmpl w:val="C4D4AB2C"/>
    <w:lvl w:ilvl="0" w:tplc="360AA9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D61FC4"/>
    <w:multiLevelType w:val="hybridMultilevel"/>
    <w:tmpl w:val="42F2C3EA"/>
    <w:lvl w:ilvl="0" w:tplc="964429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094657"/>
    <w:multiLevelType w:val="multilevel"/>
    <w:tmpl w:val="8E0C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6F67093"/>
    <w:multiLevelType w:val="multilevel"/>
    <w:tmpl w:val="E99C9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7774992"/>
    <w:multiLevelType w:val="multilevel"/>
    <w:tmpl w:val="613E2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8E1093A"/>
    <w:multiLevelType w:val="hybridMultilevel"/>
    <w:tmpl w:val="5C4E862A"/>
    <w:lvl w:ilvl="0" w:tplc="019C3AD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EE427C"/>
    <w:multiLevelType w:val="multilevel"/>
    <w:tmpl w:val="63D42D64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/>
        <w:i w:val="0"/>
        <w:iCs/>
      </w:r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13" w15:restartNumberingAfterBreak="0">
    <w:nsid w:val="2B96426D"/>
    <w:multiLevelType w:val="multilevel"/>
    <w:tmpl w:val="40F80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F645C94"/>
    <w:multiLevelType w:val="multilevel"/>
    <w:tmpl w:val="BBB80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E6526E"/>
    <w:multiLevelType w:val="hybridMultilevel"/>
    <w:tmpl w:val="CCAC85BE"/>
    <w:lvl w:ilvl="0" w:tplc="7116EADE">
      <w:start w:val="8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445C03"/>
    <w:multiLevelType w:val="multilevel"/>
    <w:tmpl w:val="5686D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0E14BDD"/>
    <w:multiLevelType w:val="multilevel"/>
    <w:tmpl w:val="3E8CEE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B5706DA"/>
    <w:multiLevelType w:val="hybridMultilevel"/>
    <w:tmpl w:val="284EAA26"/>
    <w:lvl w:ilvl="0" w:tplc="3ADEABF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i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D44CBD"/>
    <w:multiLevelType w:val="multilevel"/>
    <w:tmpl w:val="74486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725581"/>
    <w:multiLevelType w:val="multilevel"/>
    <w:tmpl w:val="F426E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81C7330"/>
    <w:multiLevelType w:val="hybridMultilevel"/>
    <w:tmpl w:val="0C124D92"/>
    <w:lvl w:ilvl="0" w:tplc="13669FF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FBF6BCC"/>
    <w:multiLevelType w:val="hybridMultilevel"/>
    <w:tmpl w:val="DC1477D0"/>
    <w:lvl w:ilvl="0" w:tplc="010C85A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60F56FEE"/>
    <w:multiLevelType w:val="multilevel"/>
    <w:tmpl w:val="B008D4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E464548"/>
    <w:multiLevelType w:val="hybridMultilevel"/>
    <w:tmpl w:val="A4DE85D0"/>
    <w:lvl w:ilvl="0" w:tplc="04069354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DE023B"/>
    <w:multiLevelType w:val="hybridMultilevel"/>
    <w:tmpl w:val="C54444A0"/>
    <w:lvl w:ilvl="0" w:tplc="73A4CD98">
      <w:start w:val="1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7C175DBA"/>
    <w:multiLevelType w:val="hybridMultilevel"/>
    <w:tmpl w:val="26CE2AD2"/>
    <w:lvl w:ilvl="0" w:tplc="29DE9AE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86648406">
    <w:abstractNumId w:val="11"/>
  </w:num>
  <w:num w:numId="2" w16cid:durableId="1328441013">
    <w:abstractNumId w:val="15"/>
  </w:num>
  <w:num w:numId="3" w16cid:durableId="1234857353">
    <w:abstractNumId w:val="7"/>
  </w:num>
  <w:num w:numId="4" w16cid:durableId="897739048">
    <w:abstractNumId w:val="0"/>
  </w:num>
  <w:num w:numId="5" w16cid:durableId="1295677634">
    <w:abstractNumId w:val="6"/>
  </w:num>
  <w:num w:numId="6" w16cid:durableId="1580169099">
    <w:abstractNumId w:val="18"/>
  </w:num>
  <w:num w:numId="7" w16cid:durableId="1659961453">
    <w:abstractNumId w:val="22"/>
  </w:num>
  <w:num w:numId="8" w16cid:durableId="1535533453">
    <w:abstractNumId w:val="23"/>
  </w:num>
  <w:num w:numId="9" w16cid:durableId="36200086">
    <w:abstractNumId w:val="8"/>
  </w:num>
  <w:num w:numId="10" w16cid:durableId="1799910623">
    <w:abstractNumId w:val="4"/>
  </w:num>
  <w:num w:numId="11" w16cid:durableId="495386898">
    <w:abstractNumId w:val="10"/>
  </w:num>
  <w:num w:numId="12" w16cid:durableId="1452017064">
    <w:abstractNumId w:val="20"/>
  </w:num>
  <w:num w:numId="13" w16cid:durableId="1035740283">
    <w:abstractNumId w:val="14"/>
  </w:num>
  <w:num w:numId="14" w16cid:durableId="1535078083">
    <w:abstractNumId w:val="17"/>
  </w:num>
  <w:num w:numId="15" w16cid:durableId="849294042">
    <w:abstractNumId w:val="3"/>
  </w:num>
  <w:num w:numId="16" w16cid:durableId="2048874393">
    <w:abstractNumId w:val="2"/>
  </w:num>
  <w:num w:numId="17" w16cid:durableId="743721686">
    <w:abstractNumId w:val="25"/>
  </w:num>
  <w:num w:numId="18" w16cid:durableId="1040516606">
    <w:abstractNumId w:val="26"/>
  </w:num>
  <w:num w:numId="19" w16cid:durableId="651298729">
    <w:abstractNumId w:val="21"/>
  </w:num>
  <w:num w:numId="20" w16cid:durableId="1188449973">
    <w:abstractNumId w:val="5"/>
  </w:num>
  <w:num w:numId="21" w16cid:durableId="683631334">
    <w:abstractNumId w:val="12"/>
  </w:num>
  <w:num w:numId="22" w16cid:durableId="115107426">
    <w:abstractNumId w:val="1"/>
  </w:num>
  <w:num w:numId="23" w16cid:durableId="1279331774">
    <w:abstractNumId w:val="13"/>
  </w:num>
  <w:num w:numId="24" w16cid:durableId="1960068367">
    <w:abstractNumId w:val="9"/>
  </w:num>
  <w:num w:numId="25" w16cid:durableId="398989434">
    <w:abstractNumId w:val="19"/>
  </w:num>
  <w:num w:numId="26" w16cid:durableId="1799183862">
    <w:abstractNumId w:val="16"/>
  </w:num>
  <w:num w:numId="27" w16cid:durableId="43483234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69EE"/>
    <w:rsid w:val="0000308D"/>
    <w:rsid w:val="00016640"/>
    <w:rsid w:val="00034DA7"/>
    <w:rsid w:val="00044327"/>
    <w:rsid w:val="000510E9"/>
    <w:rsid w:val="00064C22"/>
    <w:rsid w:val="00072934"/>
    <w:rsid w:val="000770A5"/>
    <w:rsid w:val="00080F66"/>
    <w:rsid w:val="000B2609"/>
    <w:rsid w:val="000B76F8"/>
    <w:rsid w:val="000C0A7A"/>
    <w:rsid w:val="000D62AB"/>
    <w:rsid w:val="000D7E3E"/>
    <w:rsid w:val="000E76DE"/>
    <w:rsid w:val="001006F0"/>
    <w:rsid w:val="00115505"/>
    <w:rsid w:val="00124F7F"/>
    <w:rsid w:val="00144E3D"/>
    <w:rsid w:val="0014732A"/>
    <w:rsid w:val="00156A33"/>
    <w:rsid w:val="001731A9"/>
    <w:rsid w:val="00174C73"/>
    <w:rsid w:val="001B0E38"/>
    <w:rsid w:val="001D3D5B"/>
    <w:rsid w:val="00230279"/>
    <w:rsid w:val="00233783"/>
    <w:rsid w:val="00257105"/>
    <w:rsid w:val="0026665D"/>
    <w:rsid w:val="00291C5D"/>
    <w:rsid w:val="002B795F"/>
    <w:rsid w:val="002C3744"/>
    <w:rsid w:val="002D68EF"/>
    <w:rsid w:val="002E7846"/>
    <w:rsid w:val="002F0CC3"/>
    <w:rsid w:val="00303C37"/>
    <w:rsid w:val="00315386"/>
    <w:rsid w:val="003157A8"/>
    <w:rsid w:val="00322C4C"/>
    <w:rsid w:val="003267A6"/>
    <w:rsid w:val="00342059"/>
    <w:rsid w:val="00354530"/>
    <w:rsid w:val="003802FA"/>
    <w:rsid w:val="00385509"/>
    <w:rsid w:val="00391A0B"/>
    <w:rsid w:val="003926F0"/>
    <w:rsid w:val="003A6F85"/>
    <w:rsid w:val="00401BE9"/>
    <w:rsid w:val="004035AA"/>
    <w:rsid w:val="00422441"/>
    <w:rsid w:val="0043239D"/>
    <w:rsid w:val="0044702A"/>
    <w:rsid w:val="004617AB"/>
    <w:rsid w:val="004A5514"/>
    <w:rsid w:val="004D1981"/>
    <w:rsid w:val="004D27C1"/>
    <w:rsid w:val="004D43C0"/>
    <w:rsid w:val="004E088D"/>
    <w:rsid w:val="004E7875"/>
    <w:rsid w:val="004F07D0"/>
    <w:rsid w:val="00500E39"/>
    <w:rsid w:val="0050786B"/>
    <w:rsid w:val="00533D6F"/>
    <w:rsid w:val="0053678C"/>
    <w:rsid w:val="0057137B"/>
    <w:rsid w:val="00572CC2"/>
    <w:rsid w:val="00594556"/>
    <w:rsid w:val="005B2276"/>
    <w:rsid w:val="005B7AC1"/>
    <w:rsid w:val="005C2029"/>
    <w:rsid w:val="005C2DDD"/>
    <w:rsid w:val="005C5187"/>
    <w:rsid w:val="005C6025"/>
    <w:rsid w:val="005D0E4A"/>
    <w:rsid w:val="00601065"/>
    <w:rsid w:val="00620225"/>
    <w:rsid w:val="006536BA"/>
    <w:rsid w:val="00661E40"/>
    <w:rsid w:val="0066643B"/>
    <w:rsid w:val="0067207F"/>
    <w:rsid w:val="006866D6"/>
    <w:rsid w:val="006B03FD"/>
    <w:rsid w:val="006B17FB"/>
    <w:rsid w:val="006B769E"/>
    <w:rsid w:val="006C1B45"/>
    <w:rsid w:val="006C33CE"/>
    <w:rsid w:val="00710242"/>
    <w:rsid w:val="007117E8"/>
    <w:rsid w:val="0072296F"/>
    <w:rsid w:val="0072369B"/>
    <w:rsid w:val="00757004"/>
    <w:rsid w:val="00796822"/>
    <w:rsid w:val="007A744A"/>
    <w:rsid w:val="007C21BD"/>
    <w:rsid w:val="007E6000"/>
    <w:rsid w:val="00803683"/>
    <w:rsid w:val="008125FD"/>
    <w:rsid w:val="008269EB"/>
    <w:rsid w:val="00847327"/>
    <w:rsid w:val="00882A40"/>
    <w:rsid w:val="008924C7"/>
    <w:rsid w:val="00894B96"/>
    <w:rsid w:val="00897FB8"/>
    <w:rsid w:val="008D096C"/>
    <w:rsid w:val="008D10BE"/>
    <w:rsid w:val="008D7EFE"/>
    <w:rsid w:val="008F6EC7"/>
    <w:rsid w:val="00901073"/>
    <w:rsid w:val="0090156F"/>
    <w:rsid w:val="009143B4"/>
    <w:rsid w:val="00927085"/>
    <w:rsid w:val="0095210B"/>
    <w:rsid w:val="00952896"/>
    <w:rsid w:val="00953EA4"/>
    <w:rsid w:val="00960121"/>
    <w:rsid w:val="00961208"/>
    <w:rsid w:val="00963B15"/>
    <w:rsid w:val="00964B78"/>
    <w:rsid w:val="009665B3"/>
    <w:rsid w:val="009B054C"/>
    <w:rsid w:val="009B4F06"/>
    <w:rsid w:val="009D42AC"/>
    <w:rsid w:val="009F1614"/>
    <w:rsid w:val="00A23379"/>
    <w:rsid w:val="00A4057A"/>
    <w:rsid w:val="00A86B89"/>
    <w:rsid w:val="00A96503"/>
    <w:rsid w:val="00AA4B56"/>
    <w:rsid w:val="00AB0449"/>
    <w:rsid w:val="00AC3B0D"/>
    <w:rsid w:val="00AE4DF7"/>
    <w:rsid w:val="00AF722C"/>
    <w:rsid w:val="00B14029"/>
    <w:rsid w:val="00B15557"/>
    <w:rsid w:val="00B1727B"/>
    <w:rsid w:val="00B17C2F"/>
    <w:rsid w:val="00B20846"/>
    <w:rsid w:val="00B549BD"/>
    <w:rsid w:val="00B64B43"/>
    <w:rsid w:val="00B75E71"/>
    <w:rsid w:val="00B75FA5"/>
    <w:rsid w:val="00B81729"/>
    <w:rsid w:val="00B910D0"/>
    <w:rsid w:val="00BB6EA9"/>
    <w:rsid w:val="00BB7CED"/>
    <w:rsid w:val="00BC51D9"/>
    <w:rsid w:val="00BC670F"/>
    <w:rsid w:val="00BD3B89"/>
    <w:rsid w:val="00BE1784"/>
    <w:rsid w:val="00C24C37"/>
    <w:rsid w:val="00C720BC"/>
    <w:rsid w:val="00CB68EA"/>
    <w:rsid w:val="00CD2487"/>
    <w:rsid w:val="00D036BD"/>
    <w:rsid w:val="00D31A2A"/>
    <w:rsid w:val="00D661BA"/>
    <w:rsid w:val="00D67F49"/>
    <w:rsid w:val="00D81B59"/>
    <w:rsid w:val="00D82EE7"/>
    <w:rsid w:val="00D93043"/>
    <w:rsid w:val="00D96712"/>
    <w:rsid w:val="00DB668C"/>
    <w:rsid w:val="00DC37AF"/>
    <w:rsid w:val="00DD3388"/>
    <w:rsid w:val="00DD4EDC"/>
    <w:rsid w:val="00DF1233"/>
    <w:rsid w:val="00E00CBE"/>
    <w:rsid w:val="00E120C9"/>
    <w:rsid w:val="00E33737"/>
    <w:rsid w:val="00E413C9"/>
    <w:rsid w:val="00E64B9D"/>
    <w:rsid w:val="00E66441"/>
    <w:rsid w:val="00E70981"/>
    <w:rsid w:val="00E82CE8"/>
    <w:rsid w:val="00E8449B"/>
    <w:rsid w:val="00E91C73"/>
    <w:rsid w:val="00E95BDF"/>
    <w:rsid w:val="00ED7A9F"/>
    <w:rsid w:val="00F16C2B"/>
    <w:rsid w:val="00F238E4"/>
    <w:rsid w:val="00F24FC8"/>
    <w:rsid w:val="00F30003"/>
    <w:rsid w:val="00F57DBF"/>
    <w:rsid w:val="00F763AA"/>
    <w:rsid w:val="00F97E2B"/>
    <w:rsid w:val="00FA1932"/>
    <w:rsid w:val="00FC2BB9"/>
    <w:rsid w:val="00FC69EE"/>
    <w:rsid w:val="00FD794F"/>
    <w:rsid w:val="00FF3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5F7225"/>
  <w15:chartTrackingRefBased/>
  <w15:docId w15:val="{530F3D78-04F2-494D-8C6C-954444E6B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k-S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lang w:val="pl-PL"/>
    </w:rPr>
  </w:style>
  <w:style w:type="paragraph" w:styleId="Nadpis1">
    <w:name w:val="heading 1"/>
    <w:basedOn w:val="Normlny"/>
    <w:next w:val="Normlny"/>
    <w:link w:val="Nadpis1Char"/>
    <w:qFormat/>
    <w:rsid w:val="004D27C1"/>
    <w:pPr>
      <w:keepNext/>
      <w:tabs>
        <w:tab w:val="left" w:pos="1134"/>
      </w:tabs>
      <w:jc w:val="both"/>
      <w:outlineLvl w:val="0"/>
    </w:pPr>
    <w:rPr>
      <w:rFonts w:ascii="Times New Roman" w:eastAsia="Times New Roman" w:hAnsi="Times New Roman" w:cs="Times New Roman"/>
      <w:szCs w:val="20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44702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C69EE"/>
    <w:rPr>
      <w:lang w:val="pl-PL"/>
    </w:rPr>
  </w:style>
  <w:style w:type="paragraph" w:styleId="Pta">
    <w:name w:val="footer"/>
    <w:basedOn w:val="Normlny"/>
    <w:link w:val="PtaChar"/>
    <w:uiPriority w:val="99"/>
    <w:unhideWhenUsed/>
    <w:rsid w:val="00FC69EE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C69EE"/>
    <w:rPr>
      <w:lang w:val="pl-PL"/>
    </w:rPr>
  </w:style>
  <w:style w:type="paragraph" w:customStyle="1" w:styleId="F2-ZkladnText">
    <w:name w:val="F2-ZákladnýText"/>
    <w:basedOn w:val="Normlny"/>
    <w:link w:val="F2-ZkladnTextChar"/>
    <w:rsid w:val="0090156F"/>
    <w:pPr>
      <w:jc w:val="both"/>
    </w:pPr>
    <w:rPr>
      <w:rFonts w:ascii="Times New Roman" w:eastAsia="Times New Roman" w:hAnsi="Times New Roman" w:cs="Times New Roman"/>
      <w:szCs w:val="20"/>
      <w:lang w:val="sk-SK" w:eastAsia="sk-SK"/>
    </w:rPr>
  </w:style>
  <w:style w:type="character" w:customStyle="1" w:styleId="F2-ZkladnTextChar">
    <w:name w:val="F2-ZákladnýText Char"/>
    <w:link w:val="F2-ZkladnText"/>
    <w:locked/>
    <w:rsid w:val="0090156F"/>
    <w:rPr>
      <w:rFonts w:ascii="Times New Roman" w:eastAsia="Times New Roman" w:hAnsi="Times New Roman" w:cs="Times New Roman"/>
      <w:szCs w:val="20"/>
      <w:lang w:eastAsia="sk-SK"/>
    </w:rPr>
  </w:style>
  <w:style w:type="paragraph" w:styleId="Odsekzoznamu">
    <w:name w:val="List Paragraph"/>
    <w:aliases w:val="body,Odsek zoznamu2,Bullet Number,lp1,lp11,List Paragraph11,Bullet 1,Use Case List Paragraph,List Paragraph1,Bullet List,FooterText,numbered,Paragraphe de liste1,ODRAZKY PRVA UROVEN,List Paragraph,Nad,Odstavec cíl se seznamem,Odstavec_muj"/>
    <w:basedOn w:val="Normlny"/>
    <w:link w:val="OdsekzoznamuChar"/>
    <w:uiPriority w:val="34"/>
    <w:qFormat/>
    <w:rsid w:val="006C33CE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rsid w:val="004D27C1"/>
    <w:rPr>
      <w:rFonts w:ascii="Times New Roman" w:eastAsia="Times New Roman" w:hAnsi="Times New Roman" w:cs="Times New Roman"/>
      <w:szCs w:val="20"/>
      <w:lang w:eastAsia="sk-SK"/>
    </w:rPr>
  </w:style>
  <w:style w:type="paragraph" w:styleId="Zkladntext3">
    <w:name w:val="Body Text 3"/>
    <w:basedOn w:val="Normlny"/>
    <w:link w:val="Zkladntext3Char"/>
    <w:semiHidden/>
    <w:rsid w:val="00257105"/>
    <w:pPr>
      <w:jc w:val="center"/>
    </w:pPr>
    <w:rPr>
      <w:rFonts w:ascii="Garamond" w:eastAsia="Times New Roman" w:hAnsi="Garamond" w:cs="Times New Roman"/>
      <w:color w:val="FF0000"/>
      <w:sz w:val="20"/>
      <w:szCs w:val="20"/>
      <w:lang w:val="sk-SK" w:eastAsia="sk-SK"/>
    </w:rPr>
  </w:style>
  <w:style w:type="character" w:customStyle="1" w:styleId="Zkladntext3Char">
    <w:name w:val="Základný text 3 Char"/>
    <w:basedOn w:val="Predvolenpsmoodseku"/>
    <w:link w:val="Zkladntext3"/>
    <w:semiHidden/>
    <w:rsid w:val="00257105"/>
    <w:rPr>
      <w:rFonts w:ascii="Garamond" w:eastAsia="Times New Roman" w:hAnsi="Garamond" w:cs="Times New Roman"/>
      <w:color w:val="FF0000"/>
      <w:sz w:val="20"/>
      <w:szCs w:val="20"/>
      <w:lang w:eastAsia="sk-SK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44702A"/>
    <w:rPr>
      <w:rFonts w:asciiTheme="majorHAnsi" w:eastAsiaTheme="majorEastAsia" w:hAnsiTheme="majorHAnsi" w:cstheme="majorBidi"/>
      <w:color w:val="1F3763" w:themeColor="accent1" w:themeShade="7F"/>
      <w:lang w:val="pl-PL"/>
    </w:rPr>
  </w:style>
  <w:style w:type="character" w:styleId="Hypertextovprepojenie">
    <w:name w:val="Hyperlink"/>
    <w:basedOn w:val="Predvolenpsmoodseku"/>
    <w:uiPriority w:val="99"/>
    <w:rsid w:val="00796822"/>
    <w:rPr>
      <w:color w:val="0000FF"/>
      <w:u w:val="single"/>
    </w:rPr>
  </w:style>
  <w:style w:type="paragraph" w:customStyle="1" w:styleId="Default">
    <w:name w:val="Default"/>
    <w:uiPriority w:val="99"/>
    <w:rsid w:val="00796822"/>
    <w:pPr>
      <w:autoSpaceDE w:val="0"/>
      <w:autoSpaceDN w:val="0"/>
      <w:adjustRightInd w:val="0"/>
    </w:pPr>
    <w:rPr>
      <w:rFonts w:ascii="Bookman Old Style" w:eastAsia="Times New Roman" w:hAnsi="Bookman Old Style" w:cs="Bookman Old Style"/>
      <w:color w:val="000000"/>
      <w:lang w:eastAsia="sk-SK"/>
    </w:rPr>
  </w:style>
  <w:style w:type="character" w:customStyle="1" w:styleId="OdsekzoznamuChar">
    <w:name w:val="Odsek zoznamu Char"/>
    <w:aliases w:val="body Char,Odsek zoznamu2 Char,Bullet Number Char,lp1 Char,lp11 Char,List Paragraph11 Char,Bullet 1 Char,Use Case List Paragraph Char,List Paragraph1 Char,Bullet List Char,FooterText Char,numbered Char,Paragraphe de liste1 Char"/>
    <w:link w:val="Odsekzoznamu"/>
    <w:uiPriority w:val="34"/>
    <w:qFormat/>
    <w:locked/>
    <w:rsid w:val="00796822"/>
    <w:rPr>
      <w:lang w:val="pl-PL"/>
    </w:rPr>
  </w:style>
  <w:style w:type="paragraph" w:styleId="Bezriadkovania">
    <w:name w:val="No Spacing"/>
    <w:basedOn w:val="Normlny"/>
    <w:link w:val="BezriadkovaniaChar"/>
    <w:uiPriority w:val="1"/>
    <w:qFormat/>
    <w:rsid w:val="00796822"/>
    <w:rPr>
      <w:rFonts w:ascii="Calibri" w:eastAsia="Calibri" w:hAnsi="Calibri" w:cs="Times New Roman"/>
      <w:sz w:val="22"/>
      <w:szCs w:val="22"/>
      <w:lang w:val="sk-SK" w:eastAsia="sk-SK"/>
    </w:rPr>
  </w:style>
  <w:style w:type="character" w:customStyle="1" w:styleId="BezriadkovaniaChar">
    <w:name w:val="Bez riadkovania Char"/>
    <w:link w:val="Bezriadkovania"/>
    <w:uiPriority w:val="1"/>
    <w:rsid w:val="00796822"/>
    <w:rPr>
      <w:rFonts w:ascii="Calibri" w:eastAsia="Calibri" w:hAnsi="Calibri" w:cs="Times New Roman"/>
      <w:sz w:val="22"/>
      <w:szCs w:val="22"/>
      <w:lang w:eastAsia="sk-SK"/>
    </w:rPr>
  </w:style>
  <w:style w:type="paragraph" w:customStyle="1" w:styleId="Normlnytext">
    <w:name w:val="Normálny text"/>
    <w:basedOn w:val="Normlny"/>
    <w:link w:val="NormlnytextChar"/>
    <w:qFormat/>
    <w:rsid w:val="00796822"/>
    <w:pPr>
      <w:spacing w:after="200" w:line="300" w:lineRule="auto"/>
    </w:pPr>
    <w:rPr>
      <w:rFonts w:ascii="Arial" w:hAnsi="Arial"/>
      <w:color w:val="0F1F2B"/>
      <w:sz w:val="20"/>
      <w:szCs w:val="20"/>
      <w:lang w:val="sk-SK"/>
    </w:rPr>
  </w:style>
  <w:style w:type="character" w:customStyle="1" w:styleId="NormlnytextChar">
    <w:name w:val="Normálny text Char"/>
    <w:basedOn w:val="Predvolenpsmoodseku"/>
    <w:link w:val="Normlnytext"/>
    <w:rsid w:val="00796822"/>
    <w:rPr>
      <w:rFonts w:ascii="Arial" w:hAnsi="Arial"/>
      <w:color w:val="0F1F2B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796822"/>
    <w:pPr>
      <w:jc w:val="both"/>
    </w:pPr>
    <w:rPr>
      <w:rFonts w:ascii="Arial" w:eastAsia="Times New Roman" w:hAnsi="Arial" w:cs="Times New Roman"/>
      <w:sz w:val="20"/>
      <w:szCs w:val="20"/>
      <w:lang w:val="sk-SK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rsid w:val="00796822"/>
    <w:rPr>
      <w:rFonts w:ascii="Arial" w:eastAsia="Times New Roman" w:hAnsi="Arial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796822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F30003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F3000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F30003"/>
    <w:rPr>
      <w:sz w:val="20"/>
      <w:szCs w:val="20"/>
      <w:lang w:val="pl-PL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F3000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F30003"/>
    <w:rPr>
      <w:b/>
      <w:bCs/>
      <w:sz w:val="20"/>
      <w:szCs w:val="20"/>
      <w:lang w:val="pl-PL"/>
    </w:rPr>
  </w:style>
  <w:style w:type="paragraph" w:styleId="Normlnywebov">
    <w:name w:val="Normal (Web)"/>
    <w:basedOn w:val="Normlny"/>
    <w:uiPriority w:val="99"/>
    <w:semiHidden/>
    <w:unhideWhenUsed/>
    <w:rsid w:val="00F30003"/>
    <w:rPr>
      <w:rFonts w:ascii="Times New Roman" w:hAnsi="Times New Roman" w:cs="Times New Roman"/>
    </w:rPr>
  </w:style>
  <w:style w:type="character" w:styleId="Nevyrieenzmienka">
    <w:name w:val="Unresolved Mention"/>
    <w:basedOn w:val="Predvolenpsmoodseku"/>
    <w:uiPriority w:val="99"/>
    <w:semiHidden/>
    <w:unhideWhenUsed/>
    <w:rsid w:val="0050786B"/>
    <w:rPr>
      <w:color w:val="605E5C"/>
      <w:shd w:val="clear" w:color="auto" w:fill="E1DFDD"/>
    </w:rPr>
  </w:style>
  <w:style w:type="character" w:styleId="Vrazn">
    <w:name w:val="Strong"/>
    <w:basedOn w:val="Predvolenpsmoodseku"/>
    <w:uiPriority w:val="22"/>
    <w:qFormat/>
    <w:rsid w:val="00882A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748</Words>
  <Characters>4269</Characters>
  <Application>Microsoft Office Word</Application>
  <DocSecurity>0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Výzva na predloženie cenovej ponuky – Úprava geometrickej polohy koľaje</vt:lpstr>
    </vt:vector>
  </TitlesOfParts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na predloženie cenovej ponuky – Úprava geometrickej polohy koľaje</dc:title>
  <dc:subject/>
  <dc:creator>Morvayová Alena</dc:creator>
  <cp:keywords/>
  <dc:description/>
  <cp:lastModifiedBy>Džurbanová Michaela</cp:lastModifiedBy>
  <cp:revision>2</cp:revision>
  <cp:lastPrinted>2026-07-17T13:31:00Z</cp:lastPrinted>
  <dcterms:created xsi:type="dcterms:W3CDTF">2026-10-06T12:32:00Z</dcterms:created>
  <dcterms:modified xsi:type="dcterms:W3CDTF">2026-10-06T12:32:00Z</dcterms:modified>
</cp:coreProperties>
</file>