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DE45CA" w:rsidRDefault="00B37CC3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B37CC3">
              <w:rPr>
                <w:rFonts w:ascii="Tahoma" w:hAnsi="Tahoma" w:cs="Tahoma"/>
              </w:rPr>
              <w:t>Oprava ploché střechy Společenského domu Ruská 14, Bruntál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E437C2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VZMR/020/2020/St</w:t>
            </w:r>
            <w:bookmarkStart w:id="0" w:name="_GoBack"/>
            <w:bookmarkEnd w:id="0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799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799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799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721D3E">
        <w:trPr>
          <w:trHeight w:val="285"/>
        </w:trPr>
        <w:tc>
          <w:tcPr>
            <w:tcW w:w="2263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799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8767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21D3E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37CC3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37C2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FBEC-E09D-48EF-8D06-7C2A7D8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Křiváková Jana</cp:lastModifiedBy>
  <cp:revision>7</cp:revision>
  <cp:lastPrinted>2018-04-19T08:33:00Z</cp:lastPrinted>
  <dcterms:created xsi:type="dcterms:W3CDTF">2019-10-31T07:49:00Z</dcterms:created>
  <dcterms:modified xsi:type="dcterms:W3CDTF">2020-09-04T10:00:00Z</dcterms:modified>
</cp:coreProperties>
</file>