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5B" w:rsidRDefault="005A065B" w:rsidP="005A065B">
      <w:pPr>
        <w:rPr>
          <w:rFonts w:eastAsia="Arial" w:cs="Arial"/>
          <w:b/>
          <w:i/>
          <w:sz w:val="28"/>
        </w:rPr>
      </w:pPr>
      <w:bookmarkStart w:id="0" w:name="_Toc354993063"/>
      <w:bookmarkStart w:id="1" w:name="_Toc355611582"/>
      <w:bookmarkStart w:id="2" w:name="_Toc357758541"/>
      <w:bookmarkStart w:id="3" w:name="_Toc359919567"/>
      <w:bookmarkStart w:id="4" w:name="_Toc383529814"/>
      <w:bookmarkStart w:id="5" w:name="_Toc390159008"/>
      <w:bookmarkStart w:id="6" w:name="_Toc459228067"/>
      <w:r>
        <w:rPr>
          <w:rFonts w:eastAsia="Arial" w:cs="Arial"/>
          <w:b/>
          <w:i/>
          <w:sz w:val="28"/>
        </w:rPr>
        <w:t xml:space="preserve">Príloha B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5A065B" w:rsidRDefault="005A065B" w:rsidP="005A065B">
      <w:pPr>
        <w:rPr>
          <w:rFonts w:eastAsia="Arial" w:cs="Arial"/>
          <w:b/>
          <w:i/>
          <w:sz w:val="28"/>
        </w:rPr>
      </w:pPr>
    </w:p>
    <w:p w:rsidR="005A065B" w:rsidRDefault="005A065B" w:rsidP="005A065B">
      <w:pPr>
        <w:rPr>
          <w:rFonts w:eastAsia="Arial" w:cs="Arial"/>
          <w:b/>
          <w:i/>
          <w:sz w:val="28"/>
        </w:rPr>
      </w:pPr>
      <w:r w:rsidRPr="00CB3F3A">
        <w:rPr>
          <w:rFonts w:eastAsia="Arial" w:cs="Arial"/>
          <w:b/>
          <w:i/>
          <w:sz w:val="28"/>
        </w:rPr>
        <w:t>Špecifikácia predmetu zákazky:</w:t>
      </w:r>
    </w:p>
    <w:p w:rsidR="00EE24FE" w:rsidRDefault="00EE24FE" w:rsidP="00EE24FE">
      <w:pPr>
        <w:pStyle w:val="Odsekzoznamu"/>
      </w:pPr>
    </w:p>
    <w:p w:rsidR="00EE24FE" w:rsidRPr="00602C1F" w:rsidRDefault="00EE24FE" w:rsidP="007C406D">
      <w:pPr>
        <w:pStyle w:val="Nadpis-modrbold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bookmarkStart w:id="7" w:name="_Toc43727300"/>
      <w:r w:rsidRPr="007C406D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602C1F">
        <w:rPr>
          <w:rFonts w:ascii="Times New Roman" w:hAnsi="Times New Roman" w:cs="Times New Roman"/>
          <w:color w:val="auto"/>
          <w:sz w:val="24"/>
          <w:szCs w:val="24"/>
          <w:lang w:val="sk-SK"/>
        </w:rPr>
        <w:t>.  Operačný stôl chirurgické oddelenie</w:t>
      </w:r>
      <w:bookmarkEnd w:id="7"/>
      <w:r w:rsidRPr="00602C1F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 </w:t>
      </w:r>
    </w:p>
    <w:p w:rsidR="00EE24FE" w:rsidRPr="00602C1F" w:rsidRDefault="00EE24FE" w:rsidP="00F269E0">
      <w:pPr>
        <w:rPr>
          <w:rFonts w:ascii="Times New Roman" w:hAnsi="Times New Roman"/>
          <w:sz w:val="24"/>
        </w:rPr>
      </w:pPr>
    </w:p>
    <w:tbl>
      <w:tblPr>
        <w:tblStyle w:val="Mriekatabuky"/>
        <w:tblW w:w="0" w:type="auto"/>
        <w:tblInd w:w="720" w:type="dxa"/>
        <w:tblLook w:val="04A0"/>
      </w:tblPr>
      <w:tblGrid>
        <w:gridCol w:w="5745"/>
        <w:gridCol w:w="2821"/>
      </w:tblGrid>
      <w:tr w:rsidR="00602C1F" w:rsidRPr="00602C1F" w:rsidTr="004D6EA2">
        <w:tc>
          <w:tcPr>
            <w:tcW w:w="5745" w:type="dxa"/>
          </w:tcPr>
          <w:p w:rsidR="00602C1F" w:rsidRPr="00602C1F" w:rsidRDefault="00602C1F" w:rsidP="00602C1F">
            <w:pPr>
              <w:pStyle w:val="Odsekzoznamu"/>
              <w:ind w:left="720"/>
              <w:rPr>
                <w:lang w:val="sk-SK"/>
              </w:rPr>
            </w:pPr>
          </w:p>
        </w:tc>
        <w:tc>
          <w:tcPr>
            <w:tcW w:w="2821" w:type="dxa"/>
          </w:tcPr>
          <w:p w:rsidR="00602C1F" w:rsidRPr="00602C1F" w:rsidRDefault="00602C1F" w:rsidP="00602C1F">
            <w:pPr>
              <w:pStyle w:val="Odsekzoznamu"/>
              <w:ind w:left="720"/>
              <w:rPr>
                <w:lang w:val="sk-SK"/>
              </w:rPr>
            </w:pPr>
            <w:r>
              <w:rPr>
                <w:lang w:val="sk-SK"/>
              </w:rPr>
              <w:t>áno/nie</w:t>
            </w: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8" w:name="_Toc43726433"/>
            <w:r w:rsidRPr="00602C1F">
              <w:rPr>
                <w:lang w:val="sk-SK"/>
              </w:rPr>
              <w:t>Určený na operačné zákroky na chirurgii</w:t>
            </w:r>
            <w:bookmarkEnd w:id="8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9" w:name="_Toc43726434"/>
            <w:r w:rsidRPr="00602C1F">
              <w:rPr>
                <w:lang w:val="sk-SK"/>
              </w:rPr>
              <w:t>Zostava zabudovateľného operačného stola s vymeniteľnými hlavnými doskami a transportérmi</w:t>
            </w:r>
            <w:bookmarkEnd w:id="9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10" w:name="_Toc43726435"/>
            <w:r w:rsidRPr="00602C1F">
              <w:rPr>
                <w:lang w:val="sk-SK"/>
              </w:rPr>
              <w:t>Operačný stôl s vymeniteľnou hlavnou doskou na zabudovanej základni stola</w:t>
            </w:r>
            <w:bookmarkEnd w:id="10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11" w:name="_Toc43726436"/>
            <w:r w:rsidRPr="00602C1F">
              <w:rPr>
                <w:lang w:val="sk-SK"/>
              </w:rPr>
              <w:t>Základňa operačného stola umožňujúca navezenie hlavnej dosky operačného stola minimálne z 2 strán</w:t>
            </w:r>
            <w:bookmarkEnd w:id="11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12" w:name="_Toc43726437"/>
            <w:r w:rsidRPr="00602C1F">
              <w:rPr>
                <w:lang w:val="sk-SK"/>
              </w:rPr>
              <w:t>Záložný ovládací panel na nohe stola musí byť vždy prístupný pre použitie a to aj pri navezení dosky stola transportérom</w:t>
            </w:r>
            <w:bookmarkEnd w:id="12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13" w:name="_Toc43726438"/>
            <w:r w:rsidRPr="00602C1F">
              <w:rPr>
                <w:lang w:val="sk-SK"/>
              </w:rPr>
              <w:t>Elektrické polohovanie hlavnej dosky stola:</w:t>
            </w:r>
            <w:bookmarkEnd w:id="13"/>
            <w:r w:rsidRPr="00602C1F">
              <w:rPr>
                <w:lang w:val="sk-SK"/>
              </w:rPr>
              <w:t xml:space="preserve">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14" w:name="_Toc43726439"/>
            <w:r w:rsidRPr="00602C1F">
              <w:rPr>
                <w:lang w:val="sk-SK"/>
              </w:rPr>
              <w:t>Zdvih</w:t>
            </w:r>
            <w:bookmarkEnd w:id="14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15" w:name="_Toc43726440"/>
            <w:proofErr w:type="spellStart"/>
            <w:r w:rsidRPr="00602C1F">
              <w:rPr>
                <w:lang w:val="sk-SK"/>
              </w:rPr>
              <w:t>Trendelenburg</w:t>
            </w:r>
            <w:proofErr w:type="spellEnd"/>
            <w:r w:rsidRPr="00602C1F">
              <w:rPr>
                <w:lang w:val="sk-SK"/>
              </w:rPr>
              <w:t xml:space="preserve"> / </w:t>
            </w:r>
            <w:proofErr w:type="spellStart"/>
            <w:r w:rsidRPr="00602C1F">
              <w:rPr>
                <w:lang w:val="sk-SK"/>
              </w:rPr>
              <w:t>Antitrendelenburg</w:t>
            </w:r>
            <w:bookmarkEnd w:id="15"/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16" w:name="_Toc43726441"/>
            <w:r w:rsidRPr="00602C1F">
              <w:rPr>
                <w:lang w:val="sk-SK"/>
              </w:rPr>
              <w:t xml:space="preserve">Kombinovaný </w:t>
            </w:r>
            <w:proofErr w:type="spellStart"/>
            <w:r w:rsidRPr="00602C1F">
              <w:rPr>
                <w:lang w:val="sk-SK"/>
              </w:rPr>
              <w:t>Trendelenburg</w:t>
            </w:r>
            <w:proofErr w:type="spellEnd"/>
            <w:r w:rsidRPr="00602C1F">
              <w:rPr>
                <w:lang w:val="sk-SK"/>
              </w:rPr>
              <w:t xml:space="preserve"> a laterálny sklon</w:t>
            </w:r>
            <w:bookmarkEnd w:id="16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17" w:name="_Toc43726442"/>
            <w:r w:rsidRPr="00602C1F">
              <w:rPr>
                <w:lang w:val="sk-SK"/>
              </w:rPr>
              <w:t>Laterálny náklon</w:t>
            </w:r>
            <w:bookmarkEnd w:id="17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18" w:name="_Toc43726443"/>
            <w:proofErr w:type="spellStart"/>
            <w:r w:rsidRPr="00602C1F">
              <w:rPr>
                <w:lang w:val="sk-SK"/>
              </w:rPr>
              <w:t>Longitudálny</w:t>
            </w:r>
            <w:proofErr w:type="spellEnd"/>
            <w:r w:rsidRPr="00602C1F">
              <w:rPr>
                <w:lang w:val="sk-SK"/>
              </w:rPr>
              <w:t xml:space="preserve"> (pozdĺžny) posun</w:t>
            </w:r>
            <w:bookmarkEnd w:id="18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19" w:name="_Toc43726444"/>
            <w:r w:rsidRPr="00602C1F">
              <w:rPr>
                <w:lang w:val="sk-SK"/>
              </w:rPr>
              <w:t>Sklon chrbtového dielu spodný</w:t>
            </w:r>
            <w:bookmarkEnd w:id="19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20" w:name="_Toc43726445"/>
            <w:r w:rsidRPr="00602C1F">
              <w:rPr>
                <w:lang w:val="sk-SK"/>
              </w:rPr>
              <w:t>Samostatne ovládané sklony nožných dielov</w:t>
            </w:r>
            <w:bookmarkEnd w:id="20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21" w:name="_Toc43726446"/>
            <w:r w:rsidRPr="00602C1F">
              <w:rPr>
                <w:lang w:val="sk-SK"/>
              </w:rPr>
              <w:t>Celková nosnosť nohy stola s hlavnou doskou minimálne 380 kg</w:t>
            </w:r>
            <w:bookmarkEnd w:id="21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22" w:name="_Toc43726447"/>
            <w:r w:rsidRPr="00602C1F">
              <w:rPr>
                <w:lang w:val="sk-SK"/>
              </w:rPr>
              <w:t>Ovládanie stola – záložný ovládač na nohe stola a voliteľne: ručný (káblový resp. bezkáblový ovládač), nožný ovládač alebo tyčový ovládač pre tzv. "plávajúcu" dosku stola</w:t>
            </w:r>
            <w:bookmarkEnd w:id="22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23" w:name="_Toc43726448"/>
            <w:r w:rsidRPr="00602C1F">
              <w:rPr>
                <w:lang w:val="sk-SK"/>
              </w:rPr>
              <w:t xml:space="preserve">3 preddefinované štandardné polohy stola: </w:t>
            </w:r>
            <w:proofErr w:type="spellStart"/>
            <w:r w:rsidRPr="00602C1F">
              <w:rPr>
                <w:lang w:val="sk-SK"/>
              </w:rPr>
              <w:t>flex</w:t>
            </w:r>
            <w:proofErr w:type="spellEnd"/>
            <w:r w:rsidRPr="00602C1F">
              <w:rPr>
                <w:lang w:val="sk-SK"/>
              </w:rPr>
              <w:t xml:space="preserve"> poloha, reflex poloha  a poloha horizontálneho chrbta</w:t>
            </w:r>
            <w:bookmarkEnd w:id="23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bookmarkStart w:id="24" w:name="_Toc43726449"/>
            <w:r w:rsidRPr="00602C1F">
              <w:rPr>
                <w:lang w:val="sk-SK"/>
              </w:rPr>
              <w:t>Priamo na ručnom ovládači minimálne 3 preddefinované nulové polohy</w:t>
            </w:r>
            <w:bookmarkEnd w:id="24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Motorizovaný zdvih dosky stola s minimálnom rozsahu 625 mm – 1 150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Motorizovaný náklon dosky stola (</w:t>
            </w:r>
            <w:proofErr w:type="spellStart"/>
            <w:r w:rsidRPr="00602C1F">
              <w:rPr>
                <w:lang w:val="sk-SK"/>
              </w:rPr>
              <w:t>Trendelenburg</w:t>
            </w:r>
            <w:proofErr w:type="spellEnd"/>
            <w:r w:rsidRPr="00602C1F">
              <w:rPr>
                <w:lang w:val="sk-SK"/>
              </w:rPr>
              <w:t xml:space="preserve"> / </w:t>
            </w:r>
            <w:proofErr w:type="spellStart"/>
            <w:r w:rsidRPr="00602C1F">
              <w:rPr>
                <w:lang w:val="sk-SK"/>
              </w:rPr>
              <w:t>Antitrendelenburg</w:t>
            </w:r>
            <w:proofErr w:type="spellEnd"/>
            <w:r w:rsidRPr="00602C1F">
              <w:rPr>
                <w:lang w:val="sk-SK"/>
              </w:rPr>
              <w:t>) v minimálnom rozsahu -45° / +45°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Motorizovaný maximálny kombinovaný sklon </w:t>
            </w:r>
            <w:proofErr w:type="spellStart"/>
            <w:r w:rsidRPr="00602C1F">
              <w:rPr>
                <w:lang w:val="sk-SK"/>
              </w:rPr>
              <w:t>trendelenburg</w:t>
            </w:r>
            <w:proofErr w:type="spellEnd"/>
            <w:r w:rsidRPr="00602C1F">
              <w:rPr>
                <w:lang w:val="sk-SK"/>
              </w:rPr>
              <w:t xml:space="preserve"> / </w:t>
            </w:r>
            <w:proofErr w:type="spellStart"/>
            <w:r w:rsidRPr="00602C1F">
              <w:rPr>
                <w:lang w:val="sk-SK"/>
              </w:rPr>
              <w:t>laterál</w:t>
            </w:r>
            <w:proofErr w:type="spellEnd"/>
            <w:r w:rsidRPr="00602C1F">
              <w:rPr>
                <w:lang w:val="sk-SK"/>
              </w:rPr>
              <w:t xml:space="preserve"> v minimálnom rozsahu -30° / +20° alebo 40° / +10°  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Motorizovaný laterálny náklon na obidve strany v minimálnom rozsahu -28° / +28°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Motorizované polohovanie chrbtového dielu v </w:t>
            </w:r>
            <w:r w:rsidRPr="00602C1F">
              <w:rPr>
                <w:lang w:val="sk-SK"/>
              </w:rPr>
              <w:lastRenderedPageBreak/>
              <w:t>minimálnom rozsahu - 90° alebo                  -55°(manuálne 105°) / +90°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lastRenderedPageBreak/>
              <w:t>Motorizovaný náklon nožných dielov v minimálnom rozsahu -100° / +90°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Motorizovaný </w:t>
            </w:r>
            <w:proofErr w:type="spellStart"/>
            <w:r w:rsidRPr="00602C1F">
              <w:rPr>
                <w:lang w:val="sk-SK"/>
              </w:rPr>
              <w:t>longitudálny</w:t>
            </w:r>
            <w:proofErr w:type="spellEnd"/>
            <w:r w:rsidRPr="00602C1F">
              <w:rPr>
                <w:lang w:val="sk-SK"/>
              </w:rPr>
              <w:t xml:space="preserve"> (pozdĺžny) posun dosky stola – 400 mm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Počet úrovní nastavenia rýchlosti polohovania jednotlivých dielov stola s možnosťou navolenia dielu stola pre navolenú rýchlosť – minimálne 4 úrovne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Indikátor sklonov na displeji ovládača stola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Zjednodušené ilustračné zobrazenie typu sklonu na ovládači pre ľahkú orientáciu a </w:t>
            </w:r>
            <w:proofErr w:type="spellStart"/>
            <w:r w:rsidRPr="00602C1F">
              <w:rPr>
                <w:lang w:val="sk-SK"/>
              </w:rPr>
              <w:t>predídenie</w:t>
            </w:r>
            <w:proofErr w:type="spellEnd"/>
            <w:r w:rsidRPr="00602C1F">
              <w:rPr>
                <w:lang w:val="sk-SK"/>
              </w:rPr>
              <w:t xml:space="preserve"> nežiaducemu polohovaniu pacienta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Možnosť zablokovania nohy stola a samostatne aj dielov dosky stola proti pohybom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Jednotlivé diely dosky stola so zabudovanými senzormi pre automatické predchádzanie kolízií s upozornením na kolízny stav na displeji ako aj akustickou signalizáciou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Jednotlivé diely dosky stola musia byť RTG transparentné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Minimálne 10 pamäťových miest pre užívateľom zadané prednastavené polohy dosky stola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Farebný displej ovládača s jasnou identifikáciou sklonov a častí stola ako aj so zobrazením chybových a servisných hlásení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Ručný ovládač s displejom signalizujúcim stav polôh stola, servisné a prevádzkové informácie s podsvietenými klávesmi na ručnom ovládači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Operačný stôl s automatickou identifikáciou orientácie navezenej dosky stola (poloha hlavy a nôh) a automatickým nastavením ovládača na danú polohu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Operačný stôl s automatickou identifikáciou pripojených dielov (segmentov) k hlavnej doske stola so zabudovaným  </w:t>
            </w:r>
            <w:proofErr w:type="spellStart"/>
            <w:r w:rsidRPr="00602C1F">
              <w:rPr>
                <w:lang w:val="sk-SK"/>
              </w:rPr>
              <w:t>antikolíznym</w:t>
            </w:r>
            <w:proofErr w:type="spellEnd"/>
            <w:r w:rsidRPr="00602C1F">
              <w:rPr>
                <w:lang w:val="sk-SK"/>
              </w:rPr>
              <w:t xml:space="preserve"> systémom pre </w:t>
            </w:r>
            <w:proofErr w:type="spellStart"/>
            <w:r w:rsidRPr="00602C1F">
              <w:rPr>
                <w:lang w:val="sk-SK"/>
              </w:rPr>
              <w:t>predídenie</w:t>
            </w:r>
            <w:proofErr w:type="spellEnd"/>
            <w:r w:rsidRPr="00602C1F">
              <w:rPr>
                <w:lang w:val="sk-SK"/>
              </w:rPr>
              <w:t xml:space="preserve"> kolízií (napr. s podlahou pri extrémnom polohovaní)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Všetky komponenty operačného stola, ktoré prichádzajú do kontaktu s telom pacienta musia mať mäkké </w:t>
            </w:r>
            <w:proofErr w:type="spellStart"/>
            <w:r w:rsidRPr="00602C1F">
              <w:rPr>
                <w:lang w:val="sk-SK"/>
              </w:rPr>
              <w:t>polstrovanie</w:t>
            </w:r>
            <w:proofErr w:type="spellEnd"/>
            <w:r w:rsidRPr="00602C1F">
              <w:rPr>
                <w:lang w:val="sk-SK"/>
              </w:rPr>
              <w:t xml:space="preserve">. Hlavné diely stola (hlava, chrbát, sedací diel, nožný diel a podpery končatín) musia mať </w:t>
            </w:r>
            <w:proofErr w:type="spellStart"/>
            <w:r w:rsidRPr="00602C1F">
              <w:rPr>
                <w:lang w:val="sk-SK"/>
              </w:rPr>
              <w:t>polstre</w:t>
            </w:r>
            <w:proofErr w:type="spellEnd"/>
            <w:r w:rsidRPr="00602C1F">
              <w:rPr>
                <w:lang w:val="sk-SK"/>
              </w:rPr>
              <w:t xml:space="preserve"> s pamäťovou penou s </w:t>
            </w:r>
            <w:proofErr w:type="spellStart"/>
            <w:r w:rsidRPr="00602C1F">
              <w:rPr>
                <w:lang w:val="sk-SK"/>
              </w:rPr>
              <w:t>termoizolačným</w:t>
            </w:r>
            <w:proofErr w:type="spellEnd"/>
            <w:r w:rsidRPr="00602C1F">
              <w:rPr>
                <w:lang w:val="sk-SK"/>
              </w:rPr>
              <w:t xml:space="preserve"> a </w:t>
            </w:r>
            <w:proofErr w:type="spellStart"/>
            <w:r w:rsidRPr="00602C1F">
              <w:rPr>
                <w:lang w:val="sk-SK"/>
              </w:rPr>
              <w:t>paropriepustným</w:t>
            </w:r>
            <w:proofErr w:type="spellEnd"/>
            <w:r w:rsidRPr="00602C1F">
              <w:rPr>
                <w:lang w:val="sk-SK"/>
              </w:rPr>
              <w:t xml:space="preserve"> poťahom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Zostava operačného stola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Celonerezová základňa operačného stola so zabudovateľnou nohou do podlahy – 1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Ručný bezkáblový ovládač s farebným displejom a s indukčnou prenosnou nabíjacou stanicou – 1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Transportér hlavnej dosky operačného stola pre </w:t>
            </w:r>
            <w:r w:rsidRPr="00602C1F">
              <w:rPr>
                <w:lang w:val="sk-SK"/>
              </w:rPr>
              <w:lastRenderedPageBreak/>
              <w:t>zabudovateľnú nohu – 2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lastRenderedPageBreak/>
              <w:t>Hlavná doska stola – 2 ks – univerzálna - minimálne s 2 pármi elektricky ovládaných kĺbov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Rozhrania pre sedaciu a chrbtovú časť musia byť identické, t.j. príslušenstvo musí byť pripojiteľné na ktorúkoľvek stranu hlavnej dosky stola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Nožná podpera – 2 sety - 4 dielna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Samostatne odoberateľné časti pre lýtka v kolennom kĺbe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Chrbtový predlžovací diel  – 2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Dĺžka v minimálnom rozsahu 300 mm – 330mm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Hlavový segment – 2 ks s 2 pármi kĺbov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Sklopný, výklopný v oboch pároch kĺbov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Pripojiteľný priamo k hlavnej doske stola ako aj k predlžovaciemu chrbtovému dielu.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Sklony hlavovej podpery v minimálnom rozsahu +45°/ -30°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Rozširujúce podperné dosky stola s matracom, alebo iná možnosť rozšírenia šírky stola v prípade </w:t>
            </w:r>
            <w:proofErr w:type="spellStart"/>
            <w:r w:rsidRPr="00602C1F">
              <w:rPr>
                <w:lang w:val="sk-SK"/>
              </w:rPr>
              <w:t>bariatrických</w:t>
            </w:r>
            <w:proofErr w:type="spellEnd"/>
            <w:r w:rsidRPr="00602C1F">
              <w:rPr>
                <w:lang w:val="sk-SK"/>
              </w:rPr>
              <w:t xml:space="preserve"> pacientov – 1 pár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Bočná podpera ramena pacienta – 2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Výškovo a stranovo nastaviteľná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Umiestnená na ramene o dĺžke minimálne 400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Podpera ramena pacienta s guľovým kĺbom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Ľahko prispôsobiteľná polohe ruky pacienta v rôznych pozíciách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Radiálne otočné svorky na bočnú lištu s otvorom pre príslušenstvo – 4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Podpera hornej končatiny pacienta – 2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S guľovým kĺbom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Výškovo nastaviteľná s integrovanou svorkou na bočnú lištu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Anestéziologický rám – 1 ks výškovo nastaviteľný  s otočnou svorkou k bočnej lište stola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Držiak ruky na anestéziologický rám s nastaviteľným pásom – 1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Výškovo nastaviteľný </w:t>
            </w:r>
            <w:proofErr w:type="spellStart"/>
            <w:r w:rsidRPr="00602C1F">
              <w:rPr>
                <w:lang w:val="sk-SK"/>
              </w:rPr>
              <w:t>infúzny</w:t>
            </w:r>
            <w:proofErr w:type="spellEnd"/>
            <w:r w:rsidRPr="00602C1F">
              <w:rPr>
                <w:lang w:val="sk-SK"/>
              </w:rPr>
              <w:t xml:space="preserve"> stojan na bočnú lištu ukončený s háčikmi – 1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Ramienko pre ventilačné hadice s voľne nastaviteľným "husím" krkom – 1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Nastaviteľný pás pre uchytenie tela pacienta so spojom na suchý zips a s poistkou proti samovoľnému uvoľneniu z lišty – 2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Rameno pre fixáciu bočných podpier pri polohovaní pacienta na boku s rôznym polohovaním – 2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Pás na stehno pre obéznych pacientov s mäkkým matracom s dĺžkou minimálne 1 200 mm – 1 pár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Nožná podpera tvaru U (nie plochá – požadujeme </w:t>
            </w:r>
            <w:r w:rsidRPr="00602C1F">
              <w:rPr>
                <w:lang w:val="sk-SK"/>
              </w:rPr>
              <w:lastRenderedPageBreak/>
              <w:t>bočnou fixáciou ) nastaviteľným sklonom a mäkkým matracom – 1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lastRenderedPageBreak/>
              <w:t xml:space="preserve">Kolenné podpery pacienta typ </w:t>
            </w:r>
            <w:proofErr w:type="spellStart"/>
            <w:r w:rsidRPr="00602C1F">
              <w:rPr>
                <w:lang w:val="sk-SK"/>
              </w:rPr>
              <w:t>Goepel</w:t>
            </w:r>
            <w:proofErr w:type="spellEnd"/>
            <w:r w:rsidRPr="00602C1F">
              <w:rPr>
                <w:lang w:val="sk-SK"/>
              </w:rPr>
              <w:t xml:space="preserve">  – 2 ks s mäkkým matracom s guľovým kĺbom s 2 pásmi na suchý zips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Kolenné podpery pacienta – 1 pár s čižmami, s mäkkou výplňou, s  pneumatickým piestom, s guľovým kĺbom – s polohovaním jednou rukou. Pevné – určené pre pacienta s hmotnosťou do160 kg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Bočné 3 dielne rameno pre bočné </w:t>
            </w:r>
            <w:proofErr w:type="spellStart"/>
            <w:r w:rsidRPr="00602C1F">
              <w:rPr>
                <w:lang w:val="sk-SK"/>
              </w:rPr>
              <w:t>sacrum</w:t>
            </w:r>
            <w:proofErr w:type="spellEnd"/>
            <w:r w:rsidRPr="00602C1F">
              <w:rPr>
                <w:lang w:val="sk-SK"/>
              </w:rPr>
              <w:t>–</w:t>
            </w:r>
            <w:proofErr w:type="spellStart"/>
            <w:r w:rsidRPr="00602C1F">
              <w:rPr>
                <w:lang w:val="sk-SK"/>
              </w:rPr>
              <w:t>sternum</w:t>
            </w:r>
            <w:proofErr w:type="spellEnd"/>
            <w:r w:rsidRPr="00602C1F">
              <w:rPr>
                <w:lang w:val="sk-SK"/>
              </w:rPr>
              <w:t xml:space="preserve"> podpery tela pacienta s uťahovaním v jednom kĺbe pre všetky 3 kĺby – 1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Samotné podpery tela pacienta s mäkkými matracmi – 3 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Veľkosť 85 mm x 85 mm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Veľkosť 170 mm x 120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Veľkosť 215 mm x 100 mm 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>Alebo iné rozmerové možnosti, požadujeme tri rôzne varianty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Ramenné zarážky pre </w:t>
            </w:r>
            <w:proofErr w:type="spellStart"/>
            <w:r w:rsidRPr="00602C1F">
              <w:rPr>
                <w:lang w:val="sk-SK"/>
              </w:rPr>
              <w:t>kolaterálne</w:t>
            </w:r>
            <w:proofErr w:type="spellEnd"/>
            <w:r w:rsidRPr="00602C1F">
              <w:rPr>
                <w:lang w:val="sk-SK"/>
              </w:rPr>
              <w:t xml:space="preserve"> výkony – 1 pár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Nožné podpery pre veľký </w:t>
            </w:r>
            <w:proofErr w:type="spellStart"/>
            <w:r w:rsidRPr="00602C1F">
              <w:rPr>
                <w:lang w:val="sk-SK"/>
              </w:rPr>
              <w:t>antitrendelenburg</w:t>
            </w:r>
            <w:proofErr w:type="spellEnd"/>
            <w:r w:rsidRPr="00602C1F">
              <w:rPr>
                <w:lang w:val="sk-SK"/>
              </w:rPr>
              <w:t xml:space="preserve"> polohovanie pacienta, nastaviteľné rameno pre ideálnu polohu – 1 pár, alebo nožné podpery funkčné - použiteľné v každej polohe </w:t>
            </w:r>
            <w:proofErr w:type="spellStart"/>
            <w:r w:rsidRPr="00602C1F">
              <w:rPr>
                <w:lang w:val="sk-SK"/>
              </w:rPr>
              <w:t>antitrendelenburgu</w:t>
            </w:r>
            <w:proofErr w:type="spellEnd"/>
            <w:r w:rsidRPr="00602C1F">
              <w:rPr>
                <w:lang w:val="sk-SK"/>
              </w:rPr>
              <w:t xml:space="preserve"> podľa požadovaného rozsahu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Hlavná doska ako aj jednotlivé diely dosky stola a podperné prvky musia byť vybavené mäkkými matracmi s </w:t>
            </w:r>
            <w:proofErr w:type="spellStart"/>
            <w:r w:rsidRPr="00602C1F">
              <w:rPr>
                <w:lang w:val="sk-SK"/>
              </w:rPr>
              <w:t>antidekubitnou</w:t>
            </w:r>
            <w:proofErr w:type="spellEnd"/>
            <w:r w:rsidRPr="00602C1F">
              <w:rPr>
                <w:lang w:val="sk-SK"/>
              </w:rPr>
              <w:t xml:space="preserve"> a pamäťovou funkciou. Matrace musia byť odoberateľné pre čistenie, </w:t>
            </w:r>
            <w:proofErr w:type="spellStart"/>
            <w:r w:rsidRPr="00602C1F">
              <w:rPr>
                <w:lang w:val="sk-SK"/>
              </w:rPr>
              <w:t>paropriepustné</w:t>
            </w:r>
            <w:proofErr w:type="spellEnd"/>
            <w:r w:rsidRPr="00602C1F">
              <w:rPr>
                <w:lang w:val="sk-SK"/>
              </w:rPr>
              <w:t xml:space="preserve"> a </w:t>
            </w:r>
            <w:proofErr w:type="spellStart"/>
            <w:r w:rsidRPr="00602C1F">
              <w:rPr>
                <w:lang w:val="sk-SK"/>
              </w:rPr>
              <w:t>vodeodolné</w:t>
            </w:r>
            <w:proofErr w:type="spellEnd"/>
            <w:r w:rsidRPr="00602C1F">
              <w:rPr>
                <w:lang w:val="sk-SK"/>
              </w:rPr>
              <w:t>.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Matrace dosky stola musia byť minimálne 2 vrstvové s </w:t>
            </w:r>
            <w:proofErr w:type="spellStart"/>
            <w:r w:rsidRPr="00602C1F">
              <w:rPr>
                <w:lang w:val="sk-SK"/>
              </w:rPr>
              <w:t>antidekubitnými</w:t>
            </w:r>
            <w:proofErr w:type="spellEnd"/>
            <w:r w:rsidRPr="00602C1F">
              <w:rPr>
                <w:lang w:val="sk-SK"/>
              </w:rPr>
              <w:t xml:space="preserve"> vlastnosťami a povrchovým </w:t>
            </w:r>
            <w:proofErr w:type="spellStart"/>
            <w:r w:rsidRPr="00602C1F">
              <w:rPr>
                <w:lang w:val="sk-SK"/>
              </w:rPr>
              <w:t>paropriepustným</w:t>
            </w:r>
            <w:proofErr w:type="spellEnd"/>
            <w:r w:rsidRPr="00602C1F">
              <w:rPr>
                <w:lang w:val="sk-SK"/>
              </w:rPr>
              <w:t xml:space="preserve"> a </w:t>
            </w:r>
            <w:proofErr w:type="spellStart"/>
            <w:r w:rsidRPr="00602C1F">
              <w:rPr>
                <w:lang w:val="sk-SK"/>
              </w:rPr>
              <w:t>termoizolačným</w:t>
            </w:r>
            <w:proofErr w:type="spellEnd"/>
            <w:r w:rsidRPr="00602C1F">
              <w:rPr>
                <w:lang w:val="sk-SK"/>
              </w:rPr>
              <w:t xml:space="preserve"> poťahom. Hrúbka matracov v minimálnom rozsahu  80 mm – 90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 w:rsidRPr="00602C1F">
              <w:rPr>
                <w:lang w:val="sk-SK"/>
              </w:rPr>
              <w:t xml:space="preserve">Hlavná doska, chrbtový, nožný a hlavový diel osadené bočnými </w:t>
            </w:r>
            <w:proofErr w:type="spellStart"/>
            <w:r w:rsidRPr="00602C1F">
              <w:rPr>
                <w:lang w:val="sk-SK"/>
              </w:rPr>
              <w:t>eurolištami</w:t>
            </w:r>
            <w:proofErr w:type="spellEnd"/>
            <w:r w:rsidRPr="00602C1F">
              <w:rPr>
                <w:lang w:val="sk-SK"/>
              </w:rPr>
              <w:t xml:space="preserve"> pre uchytenie príslušenstva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2821" w:type="dxa"/>
          </w:tcPr>
          <w:p w:rsidR="004D6EA2" w:rsidRPr="00602C1F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ŠUKL kód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Označenie CE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Slovenský návod na obsluhu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Vrátane dopravy, zaškolenia a inštalácie vo FNsP Žilina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Záruka minimálne 24 mesiacov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Záručný servis a pozáručný servis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 xml:space="preserve">Nové nepoužívané a </w:t>
            </w:r>
            <w:proofErr w:type="spellStart"/>
            <w:r w:rsidRPr="00602C1F">
              <w:rPr>
                <w:lang w:val="sk-SK"/>
              </w:rPr>
              <w:t>nerepasované</w:t>
            </w:r>
            <w:proofErr w:type="spellEnd"/>
            <w:r w:rsidRPr="00602C1F">
              <w:rPr>
                <w:lang w:val="sk-SK"/>
              </w:rPr>
              <w:t xml:space="preserve"> zariadenie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Možnosť objednania a dodávky príslušenstva a náhradných dielov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</w:tbl>
    <w:p w:rsidR="00640DA4" w:rsidRPr="00602C1F" w:rsidRDefault="00640DA4" w:rsidP="00640DA4">
      <w:pPr>
        <w:tabs>
          <w:tab w:val="left" w:pos="990"/>
        </w:tabs>
        <w:spacing w:after="160" w:line="259" w:lineRule="auto"/>
        <w:jc w:val="left"/>
        <w:rPr>
          <w:rFonts w:ascii="Times New Roman" w:eastAsia="Calibri" w:hAnsi="Times New Roman"/>
          <w:sz w:val="24"/>
          <w:lang w:eastAsia="en-US"/>
        </w:rPr>
      </w:pPr>
    </w:p>
    <w:p w:rsidR="00640DA4" w:rsidRPr="00640DA4" w:rsidRDefault="00640DA4" w:rsidP="00640DA4">
      <w:pPr>
        <w:tabs>
          <w:tab w:val="left" w:pos="990"/>
        </w:tabs>
        <w:spacing w:after="160" w:line="259" w:lineRule="auto"/>
        <w:jc w:val="left"/>
        <w:rPr>
          <w:rFonts w:ascii="Times New Roman" w:eastAsia="Calibri" w:hAnsi="Times New Roman"/>
          <w:sz w:val="24"/>
          <w:lang w:eastAsia="en-US"/>
        </w:rPr>
      </w:pPr>
    </w:p>
    <w:p w:rsidR="004F46F3" w:rsidRDefault="00640DA4" w:rsidP="00F67539">
      <w:pPr>
        <w:rPr>
          <w:rFonts w:ascii="Calibri" w:hAnsi="Calibri" w:cs="Arial"/>
          <w:sz w:val="22"/>
          <w:szCs w:val="22"/>
        </w:rPr>
      </w:pPr>
      <w:bookmarkStart w:id="25" w:name="_Toc23419349"/>
      <w:bookmarkStart w:id="26" w:name="_Toc23435482"/>
      <w:bookmarkStart w:id="27" w:name="_Toc23436133"/>
      <w:bookmarkStart w:id="28" w:name="_Toc23436238"/>
      <w:r w:rsidRPr="007C406D">
        <w:rPr>
          <w:rFonts w:ascii="Times New Roman" w:hAnsi="Times New Roman"/>
          <w:sz w:val="24"/>
          <w:lang w:eastAsia="en-US"/>
        </w:rPr>
        <w:t xml:space="preserve">Ak v tomto opise predmetu zákazky alebo v ktorejkoľvek dokumentácii poskytnutej verejným obstarávateľom v rámci prípravy tohto verejného obstarávania, technické požiadavky odkazujú na konkrétneho výrobcu, výrobný postup, značku, patent, typ, krajinu, oblasť alebo miesto pôvodu alebo výroby, </w:t>
      </w:r>
      <w:r w:rsidRPr="007C406D">
        <w:rPr>
          <w:rFonts w:ascii="Times New Roman" w:hAnsi="Times New Roman"/>
          <w:sz w:val="24"/>
          <w:shd w:val="clear" w:color="auto" w:fill="FFFFFF"/>
          <w:lang w:eastAsia="en-US"/>
        </w:rPr>
        <w:t xml:space="preserve">verejným obstarávateľ umožňuje predloženie ekvivalentu. Pre účely tejto zákazky bude verejný obstarávateľ akceptovať ekvivalent ako </w:t>
      </w:r>
      <w:r w:rsidRPr="007C406D">
        <w:rPr>
          <w:rFonts w:ascii="Times New Roman" w:hAnsi="Times New Roman"/>
          <w:sz w:val="24"/>
          <w:lang w:eastAsia="en-US"/>
        </w:rPr>
        <w:t xml:space="preserve">ponúknuté riešenie uchádzača spĺňajúce úžitkové, prevádzkové a funkčné charakteristiky, ktoré sú nevyhnutné na zabezpečenie účelu, na ktorý sú určené, pričom </w:t>
      </w:r>
      <w:r w:rsidRPr="007C406D">
        <w:rPr>
          <w:rFonts w:ascii="Times New Roman" w:hAnsi="Times New Roman"/>
          <w:sz w:val="24"/>
          <w:shd w:val="clear" w:color="auto" w:fill="FFFFFF"/>
          <w:lang w:eastAsia="en-US"/>
        </w:rPr>
        <w:t>ponúknuté riešenie bude spĺňať resp. sa ním dosiahne rovnaká alebo vyššia výkonnostná úroveň v porovnaní s verejným obstarávateľom požadovanými technickými parametrami</w:t>
      </w:r>
      <w:r w:rsidRPr="007C406D">
        <w:rPr>
          <w:rFonts w:ascii="Times New Roman" w:hAnsi="Times New Roman"/>
          <w:sz w:val="24"/>
          <w:lang w:eastAsia="en-US"/>
        </w:rPr>
        <w:t>.</w:t>
      </w:r>
      <w:bookmarkEnd w:id="25"/>
      <w:bookmarkEnd w:id="26"/>
      <w:bookmarkEnd w:id="27"/>
      <w:bookmarkEnd w:id="28"/>
      <w:r w:rsidR="00F67539">
        <w:rPr>
          <w:rFonts w:ascii="Calibri" w:hAnsi="Calibri" w:cs="Arial"/>
          <w:sz w:val="22"/>
          <w:szCs w:val="22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p w:rsidR="004F46F3" w:rsidRDefault="004F46F3" w:rsidP="001911DF">
      <w:pPr>
        <w:autoSpaceDE w:val="0"/>
        <w:adjustRightInd w:val="0"/>
        <w:jc w:val="left"/>
        <w:rPr>
          <w:rFonts w:ascii="Calibri" w:hAnsi="Calibri" w:cs="Arial"/>
          <w:sz w:val="22"/>
          <w:szCs w:val="22"/>
        </w:rPr>
      </w:pPr>
    </w:p>
    <w:sectPr w:rsidR="004F46F3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EAC" w:rsidRDefault="000A0EAC" w:rsidP="00241FD2">
      <w:r>
        <w:separator/>
      </w:r>
    </w:p>
  </w:endnote>
  <w:endnote w:type="continuationSeparator" w:id="0">
    <w:p w:rsidR="000A0EAC" w:rsidRDefault="000A0EAC" w:rsidP="00241FD2">
      <w:r>
        <w:continuationSeparator/>
      </w:r>
    </w:p>
  </w:endnote>
  <w:endnote w:type="continuationNotice" w:id="1">
    <w:p w:rsidR="000A0EAC" w:rsidRDefault="000A0EA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5A065B" w:rsidRPr="005A065B">
        <w:rPr>
          <w:rFonts w:asciiTheme="majorHAnsi" w:hAnsiTheme="majorHAnsi"/>
          <w:noProof/>
        </w:rPr>
        <w:t>5</w:t>
      </w:r>
    </w:fldSimple>
  </w:p>
  <w:p w:rsidR="00A35FD7" w:rsidRDefault="00A35FD7" w:rsidP="00D11654">
    <w:pPr>
      <w:pStyle w:val="Pta"/>
    </w:pPr>
  </w:p>
  <w:p w:rsidR="00A35FD7" w:rsidRDefault="00A35FD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                                                                                        Strana </w:t>
    </w:r>
    <w:fldSimple w:instr=" PAGE   \* MERGEFORMAT ">
      <w:r w:rsidR="005A065B" w:rsidRPr="005A065B">
        <w:rPr>
          <w:rFonts w:asciiTheme="majorHAnsi" w:hAnsiTheme="majorHAnsi"/>
          <w:noProof/>
        </w:rPr>
        <w:t>1</w:t>
      </w:r>
    </w:fldSimple>
  </w:p>
  <w:p w:rsidR="00A35FD7" w:rsidRPr="00D11654" w:rsidRDefault="00A35FD7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EAC" w:rsidRDefault="000A0EAC" w:rsidP="00241FD2">
      <w:r>
        <w:separator/>
      </w:r>
    </w:p>
  </w:footnote>
  <w:footnote w:type="continuationSeparator" w:id="0">
    <w:p w:rsidR="000A0EAC" w:rsidRDefault="000A0EAC" w:rsidP="00241FD2">
      <w:r>
        <w:continuationSeparator/>
      </w:r>
    </w:p>
  </w:footnote>
  <w:footnote w:type="continuationNotice" w:id="1">
    <w:p w:rsidR="000A0EAC" w:rsidRDefault="000A0E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D7" w:rsidRDefault="00A35FD7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A35FD7" w:rsidRDefault="00A35FD7">
    <w:pPr>
      <w:pStyle w:val="Hlavika"/>
    </w:pPr>
  </w:p>
  <w:p w:rsidR="00A35FD7" w:rsidRPr="00BD6825" w:rsidRDefault="00A35FD7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CD44D8E"/>
    <w:multiLevelType w:val="hybridMultilevel"/>
    <w:tmpl w:val="EB781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4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5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7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9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89429A"/>
    <w:multiLevelType w:val="hybridMultilevel"/>
    <w:tmpl w:val="918405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2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4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76E86C9D"/>
    <w:multiLevelType w:val="hybridMultilevel"/>
    <w:tmpl w:val="3A66C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7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4"/>
  </w:num>
  <w:num w:numId="5">
    <w:abstractNumId w:val="77"/>
  </w:num>
  <w:num w:numId="6">
    <w:abstractNumId w:val="80"/>
  </w:num>
  <w:num w:numId="7">
    <w:abstractNumId w:val="39"/>
  </w:num>
  <w:num w:numId="8">
    <w:abstractNumId w:val="45"/>
  </w:num>
  <w:num w:numId="9">
    <w:abstractNumId w:val="93"/>
  </w:num>
  <w:num w:numId="10">
    <w:abstractNumId w:val="81"/>
  </w:num>
  <w:num w:numId="11">
    <w:abstractNumId w:val="66"/>
  </w:num>
  <w:num w:numId="12">
    <w:abstractNumId w:val="31"/>
  </w:num>
  <w:num w:numId="13">
    <w:abstractNumId w:val="73"/>
  </w:num>
  <w:num w:numId="14">
    <w:abstractNumId w:val="83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6"/>
  </w:num>
  <w:num w:numId="25">
    <w:abstractNumId w:val="4"/>
  </w:num>
  <w:num w:numId="26">
    <w:abstractNumId w:val="0"/>
  </w:num>
  <w:num w:numId="27">
    <w:abstractNumId w:val="88"/>
  </w:num>
  <w:num w:numId="28">
    <w:abstractNumId w:val="58"/>
  </w:num>
  <w:num w:numId="29">
    <w:abstractNumId w:val="19"/>
  </w:num>
  <w:num w:numId="30">
    <w:abstractNumId w:val="23"/>
  </w:num>
  <w:num w:numId="31">
    <w:abstractNumId w:val="97"/>
  </w:num>
  <w:num w:numId="32">
    <w:abstractNumId w:val="26"/>
  </w:num>
  <w:num w:numId="33">
    <w:abstractNumId w:val="85"/>
  </w:num>
  <w:num w:numId="34">
    <w:abstractNumId w:val="41"/>
  </w:num>
  <w:num w:numId="35">
    <w:abstractNumId w:val="35"/>
  </w:num>
  <w:num w:numId="36">
    <w:abstractNumId w:val="76"/>
  </w:num>
  <w:num w:numId="37">
    <w:abstractNumId w:val="91"/>
  </w:num>
  <w:num w:numId="38">
    <w:abstractNumId w:val="5"/>
  </w:num>
  <w:num w:numId="39">
    <w:abstractNumId w:val="3"/>
  </w:num>
  <w:num w:numId="40">
    <w:abstractNumId w:val="34"/>
  </w:num>
  <w:num w:numId="41">
    <w:abstractNumId w:val="101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4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6"/>
  </w:num>
  <w:num w:numId="63">
    <w:abstractNumId w:val="9"/>
  </w:num>
  <w:num w:numId="64">
    <w:abstractNumId w:val="59"/>
  </w:num>
  <w:num w:numId="65">
    <w:abstractNumId w:val="14"/>
  </w:num>
  <w:num w:numId="66">
    <w:abstractNumId w:val="89"/>
  </w:num>
  <w:num w:numId="67">
    <w:abstractNumId w:val="46"/>
  </w:num>
  <w:num w:numId="68">
    <w:abstractNumId w:val="87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2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8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2"/>
  </w:num>
  <w:num w:numId="93">
    <w:abstractNumId w:val="100"/>
  </w:num>
  <w:num w:numId="94">
    <w:abstractNumId w:val="37"/>
  </w:num>
  <w:num w:numId="95">
    <w:abstractNumId w:val="54"/>
  </w:num>
  <w:num w:numId="96">
    <w:abstractNumId w:val="99"/>
  </w:num>
  <w:num w:numId="97">
    <w:abstractNumId w:val="53"/>
  </w:num>
  <w:num w:numId="98">
    <w:abstractNumId w:val="95"/>
  </w:num>
  <w:num w:numId="99">
    <w:abstractNumId w:val="90"/>
  </w:num>
  <w:num w:numId="100">
    <w:abstractNumId w:val="79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131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0EAC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4204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744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D6B4F"/>
    <w:rsid w:val="004D6EA2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6F16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065B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6E5C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C1F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406D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D7CE1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D6F9D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5FD7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6336"/>
    <w:rsid w:val="00AF79B4"/>
    <w:rsid w:val="00AF7BA4"/>
    <w:rsid w:val="00B0052A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1A77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270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BD6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9E0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6753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18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uiPriority w:val="39"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570DF-0D6D-4295-A5E3-F1F136BF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8118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2020-09-10T15:55:00Z</dcterms:created>
  <dcterms:modified xsi:type="dcterms:W3CDTF">2020-09-11T16:10:00Z</dcterms:modified>
</cp:coreProperties>
</file>