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60" w:rsidRPr="00A937B3" w:rsidRDefault="00985560" w:rsidP="00985560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</w:p>
    <w:p w:rsidR="00985560" w:rsidRPr="00A937B3" w:rsidRDefault="00985560" w:rsidP="00985560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985560" w:rsidRPr="00A937B3" w:rsidRDefault="00985560" w:rsidP="00985560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985560" w:rsidRPr="00A937B3" w:rsidRDefault="00985560" w:rsidP="00985560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985560" w:rsidRPr="00A937B3" w:rsidRDefault="00985560" w:rsidP="00985560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985560" w:rsidRPr="00A937B3" w:rsidRDefault="00985560" w:rsidP="00985560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985560" w:rsidRPr="00704074" w:rsidRDefault="00985560" w:rsidP="00985560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704074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 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„</w:t>
      </w:r>
      <w:r w:rsidRPr="006F5A19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Vypracovanie ú</w:t>
      </w:r>
      <w:r w:rsidRPr="006F5A19">
        <w:rPr>
          <w:rFonts w:ascii="Book Antiqua" w:hAnsi="Book Antiqua" w:cs="Book Antiqua"/>
          <w:b/>
          <w:sz w:val="28"/>
          <w:szCs w:val="28"/>
        </w:rPr>
        <w:t>čelového</w:t>
      </w:r>
      <w:r w:rsidRPr="00D10A82">
        <w:rPr>
          <w:rFonts w:ascii="Book Antiqua" w:hAnsi="Book Antiqua" w:cs="Book Antiqua"/>
          <w:b/>
          <w:sz w:val="28"/>
          <w:szCs w:val="28"/>
        </w:rPr>
        <w:t xml:space="preserve"> energetick</w:t>
      </w:r>
      <w:r>
        <w:rPr>
          <w:rFonts w:ascii="Book Antiqua" w:hAnsi="Book Antiqua" w:cs="Book Antiqua"/>
          <w:b/>
          <w:sz w:val="28"/>
          <w:szCs w:val="28"/>
        </w:rPr>
        <w:t>ého</w:t>
      </w:r>
      <w:r w:rsidRPr="00D10A82">
        <w:rPr>
          <w:rFonts w:ascii="Book Antiqua" w:hAnsi="Book Antiqua" w:cs="Book Antiqua"/>
          <w:b/>
          <w:sz w:val="28"/>
          <w:szCs w:val="28"/>
        </w:rPr>
        <w:t xml:space="preserve"> audit</w:t>
      </w:r>
      <w:r>
        <w:rPr>
          <w:rFonts w:ascii="Book Antiqua" w:hAnsi="Book Antiqua" w:cs="Book Antiqua"/>
          <w:b/>
          <w:sz w:val="28"/>
          <w:szCs w:val="28"/>
        </w:rPr>
        <w:t>u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“</w:t>
      </w:r>
    </w:p>
    <w:p w:rsidR="00985560" w:rsidRPr="00A937B3" w:rsidRDefault="00985560" w:rsidP="00985560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985560" w:rsidRPr="00A937B3" w:rsidRDefault="00985560" w:rsidP="00985560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985560" w:rsidRPr="00A937B3" w:rsidRDefault="00985560" w:rsidP="00985560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985560" w:rsidRPr="00A937B3" w:rsidRDefault="00985560" w:rsidP="00985560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985560" w:rsidRPr="00A937B3" w:rsidRDefault="00985560" w:rsidP="00985560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85560" w:rsidRPr="00A937B3" w:rsidRDefault="00985560" w:rsidP="00985560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985560" w:rsidRPr="00A937B3" w:rsidRDefault="00985560" w:rsidP="00985560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85560" w:rsidRPr="00A937B3" w:rsidRDefault="00985560" w:rsidP="00985560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985560" w:rsidRPr="00A937B3" w:rsidRDefault="00985560" w:rsidP="00985560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85560" w:rsidRPr="00A937B3" w:rsidRDefault="00985560" w:rsidP="00985560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985560" w:rsidRPr="00A937B3" w:rsidRDefault="00985560" w:rsidP="00985560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985560" w:rsidRPr="00A937B3" w:rsidRDefault="00985560" w:rsidP="00985560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985560" w:rsidRDefault="00985560" w:rsidP="00985560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985560" w:rsidRPr="00AD369A" w:rsidRDefault="00985560" w:rsidP="00985560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985560" w:rsidRDefault="00985560" w:rsidP="00985560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985560" w:rsidRPr="00AD369A" w:rsidRDefault="00985560" w:rsidP="00985560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85560" w:rsidRPr="00A937B3" w:rsidRDefault="00985560" w:rsidP="00985560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85560" w:rsidRPr="00A937B3" w:rsidRDefault="00985560" w:rsidP="00985560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985560" w:rsidRPr="00A937B3" w:rsidRDefault="00985560" w:rsidP="00985560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275A89" w:rsidRDefault="00985560" w:rsidP="00985560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  <w:bookmarkStart w:id="1" w:name="_GoBack"/>
      <w:bookmarkEnd w:id="1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60"/>
    <w:rsid w:val="000B1F60"/>
    <w:rsid w:val="00275A89"/>
    <w:rsid w:val="0098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55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55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2020-10-23T08:56:00Z</dcterms:created>
  <dcterms:modified xsi:type="dcterms:W3CDTF">2020-10-23T08:57:00Z</dcterms:modified>
</cp:coreProperties>
</file>