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76BC3A6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B969AE">
        <w:t>Parčík Karadžičova/</w:t>
      </w:r>
      <w:r w:rsidR="007D6F42">
        <w:t>K</w:t>
      </w:r>
      <w:r w:rsidR="00B969AE">
        <w:t>rížna – rekonštrukcia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0217F7"/>
    <w:p w14:paraId="01A78EDA" w14:textId="3381D0D5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</w:t>
      </w:r>
      <w:r w:rsidR="00333040">
        <w:t xml:space="preserve"> </w:t>
      </w:r>
      <w:r w:rsidRPr="00B934D3">
        <w:t>„</w:t>
      </w:r>
      <w:bookmarkStart w:id="0" w:name="_Hlk51834052"/>
      <w:r w:rsidR="0074281C" w:rsidRPr="0074281C">
        <w:rPr>
          <w:b/>
        </w:rPr>
        <w:t>Parčík Karadžičova/Krížna – rekonštrukcia</w:t>
      </w:r>
      <w:bookmarkEnd w:id="0"/>
      <w:r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Pr="00B934D3">
        <w:t xml:space="preserve">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21040574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74281C">
        <w:t>Mária Némethová</w:t>
      </w:r>
      <w:r w:rsidRPr="00574B18">
        <w:t>,</w:t>
      </w:r>
      <w:r w:rsidR="0074281C">
        <w:t xml:space="preserve">  </w:t>
      </w:r>
      <w:hyperlink r:id="rId9" w:history="1">
        <w:r w:rsidR="0074281C" w:rsidRPr="00B129DC">
          <w:rPr>
            <w:rStyle w:val="Hypertextovprepojenie"/>
          </w:rPr>
          <w:t>maria.nemethova@bratislava.sk</w:t>
        </w:r>
      </w:hyperlink>
      <w:r w:rsidR="0074281C">
        <w:t xml:space="preserve"> 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77092AD3" w14:textId="0FD6970D" w:rsidR="0074281C" w:rsidRPr="00E243A1" w:rsidRDefault="0074281C" w:rsidP="0074281C">
      <w:pPr>
        <w:rPr>
          <w:szCs w:val="24"/>
        </w:rPr>
      </w:pPr>
      <w:bookmarkStart w:id="1" w:name="_Hlk518286193"/>
      <w:r w:rsidRPr="00E243A1">
        <w:rPr>
          <w:szCs w:val="24"/>
        </w:rPr>
        <w:t>Predmetom zákazky je</w:t>
      </w:r>
      <w:r w:rsidR="00E64717">
        <w:rPr>
          <w:szCs w:val="24"/>
        </w:rPr>
        <w:t xml:space="preserve"> </w:t>
      </w:r>
      <w:r>
        <w:rPr>
          <w:szCs w:val="24"/>
        </w:rPr>
        <w:t>úprava spevnených povrchov v parčíku, vybudovanie parkového         (mlátového) chodníka, opláštenie rozvodných skríň, rozšírenie verejného osvetlenia a osadenie mestského mobiliáru</w:t>
      </w:r>
      <w:r w:rsidR="00600167">
        <w:rPr>
          <w:szCs w:val="24"/>
        </w:rPr>
        <w:t>.</w:t>
      </w:r>
      <w:r>
        <w:rPr>
          <w:szCs w:val="24"/>
        </w:rPr>
        <w:t xml:space="preserve"> </w:t>
      </w:r>
    </w:p>
    <w:bookmarkEnd w:id="1"/>
    <w:p w14:paraId="64457ACB" w14:textId="77777777" w:rsidR="0074281C" w:rsidRPr="00E243A1" w:rsidRDefault="0074281C" w:rsidP="0074281C">
      <w:pPr>
        <w:rPr>
          <w:szCs w:val="24"/>
        </w:rPr>
      </w:pPr>
      <w:r w:rsidRPr="00E243A1">
        <w:rPr>
          <w:szCs w:val="24"/>
        </w:rPr>
        <w:t>Predmet zákazky pozostáva z nasledujúcich prác :</w:t>
      </w:r>
    </w:p>
    <w:p w14:paraId="7372D33F" w14:textId="77777777" w:rsidR="0074281C" w:rsidRPr="004938AB" w:rsidRDefault="0074281C" w:rsidP="0074281C">
      <w:pPr>
        <w:rPr>
          <w:b/>
          <w:szCs w:val="24"/>
        </w:rPr>
      </w:pPr>
      <w:r>
        <w:rPr>
          <w:b/>
          <w:szCs w:val="24"/>
        </w:rPr>
        <w:t>SO 02 Spevnené plochy</w:t>
      </w:r>
      <w:r w:rsidRPr="00E243A1">
        <w:rPr>
          <w:b/>
          <w:szCs w:val="24"/>
        </w:rPr>
        <w:t xml:space="preserve"> </w:t>
      </w:r>
    </w:p>
    <w:p w14:paraId="171F02D0" w14:textId="2AFE248F" w:rsidR="0074281C" w:rsidRPr="00E243A1" w:rsidRDefault="0074281C" w:rsidP="0074281C">
      <w:pPr>
        <w:rPr>
          <w:szCs w:val="24"/>
        </w:rPr>
      </w:pPr>
      <w:r>
        <w:rPr>
          <w:szCs w:val="24"/>
        </w:rPr>
        <w:t>Úprava</w:t>
      </w:r>
      <w:r w:rsidRPr="00E243A1">
        <w:rPr>
          <w:szCs w:val="24"/>
        </w:rPr>
        <w:t xml:space="preserve"> spevnených plôch bude realizovaná podľa projektovej dokumentácie</w:t>
      </w:r>
      <w:r w:rsidR="00333040">
        <w:rPr>
          <w:szCs w:val="24"/>
        </w:rPr>
        <w:t xml:space="preserve"> pre časť SO02, SO03 a SO04, ktorá tvorí prílohy tejto výzvy</w:t>
      </w:r>
      <w:r w:rsidRPr="00E243A1">
        <w:rPr>
          <w:szCs w:val="24"/>
        </w:rPr>
        <w:t xml:space="preserve">. </w:t>
      </w:r>
      <w:r>
        <w:rPr>
          <w:szCs w:val="24"/>
        </w:rPr>
        <w:t>Zodpovedný projektant : Ing. arch. Marcel Dzurilla</w:t>
      </w:r>
      <w:r w:rsidR="00333040">
        <w:rPr>
          <w:szCs w:val="24"/>
        </w:rPr>
        <w:t>.</w:t>
      </w:r>
    </w:p>
    <w:p w14:paraId="0815D8DC" w14:textId="17EEADCE" w:rsidR="0074281C" w:rsidRPr="00E243A1" w:rsidRDefault="0074281C" w:rsidP="0074281C">
      <w:pPr>
        <w:rPr>
          <w:color w:val="0D0D0D"/>
          <w:szCs w:val="24"/>
        </w:rPr>
      </w:pPr>
      <w:r w:rsidRPr="00E243A1">
        <w:rPr>
          <w:color w:val="0D0D0D"/>
          <w:szCs w:val="24"/>
        </w:rPr>
        <w:t>Práce pozostávajú:</w:t>
      </w:r>
    </w:p>
    <w:p w14:paraId="492D1C5B" w14:textId="77777777" w:rsidR="0074281C" w:rsidRPr="00E243A1" w:rsidRDefault="0074281C" w:rsidP="0074281C">
      <w:pPr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 xml:space="preserve">Vytýčenie staveniska </w:t>
      </w:r>
    </w:p>
    <w:p w14:paraId="62A59DE2" w14:textId="77777777" w:rsidR="0074281C" w:rsidRDefault="0074281C" w:rsidP="0074281C">
      <w:pPr>
        <w:numPr>
          <w:ilvl w:val="0"/>
          <w:numId w:val="11"/>
        </w:numPr>
        <w:spacing w:after="0"/>
        <w:rPr>
          <w:szCs w:val="24"/>
        </w:rPr>
      </w:pPr>
      <w:r w:rsidRPr="00E243A1">
        <w:rPr>
          <w:szCs w:val="24"/>
        </w:rPr>
        <w:t>Vyčistenie podkladu</w:t>
      </w:r>
    </w:p>
    <w:p w14:paraId="06A6C43E" w14:textId="77777777" w:rsidR="0074281C" w:rsidRPr="00E243A1" w:rsidRDefault="0074281C" w:rsidP="0074281C">
      <w:pPr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Zemné a výkopové práce v nevyhnutnom rozsahu</w:t>
      </w:r>
      <w:r w:rsidRPr="00E243A1">
        <w:rPr>
          <w:szCs w:val="24"/>
        </w:rPr>
        <w:t xml:space="preserve"> </w:t>
      </w:r>
    </w:p>
    <w:p w14:paraId="46C32988" w14:textId="77777777" w:rsidR="0074281C" w:rsidRPr="00E243A1" w:rsidRDefault="0074281C" w:rsidP="0074281C">
      <w:pPr>
        <w:numPr>
          <w:ilvl w:val="0"/>
          <w:numId w:val="11"/>
        </w:numPr>
        <w:spacing w:after="0"/>
        <w:rPr>
          <w:szCs w:val="24"/>
        </w:rPr>
      </w:pPr>
      <w:r w:rsidRPr="00E243A1">
        <w:rPr>
          <w:szCs w:val="24"/>
        </w:rPr>
        <w:t>Uloženie</w:t>
      </w:r>
      <w:r>
        <w:rPr>
          <w:szCs w:val="24"/>
        </w:rPr>
        <w:t xml:space="preserve"> a hutnenie</w:t>
      </w:r>
      <w:r w:rsidRPr="00E243A1">
        <w:rPr>
          <w:szCs w:val="24"/>
        </w:rPr>
        <w:t xml:space="preserve"> konštrukcie chodníka</w:t>
      </w:r>
    </w:p>
    <w:p w14:paraId="481D2A49" w14:textId="77777777" w:rsidR="0074281C" w:rsidRPr="00E243A1" w:rsidRDefault="0074281C" w:rsidP="0074281C">
      <w:pPr>
        <w:numPr>
          <w:ilvl w:val="0"/>
          <w:numId w:val="12"/>
        </w:numPr>
        <w:spacing w:after="0"/>
        <w:rPr>
          <w:szCs w:val="24"/>
        </w:rPr>
      </w:pPr>
      <w:r w:rsidRPr="00E243A1">
        <w:rPr>
          <w:szCs w:val="24"/>
        </w:rPr>
        <w:t xml:space="preserve">Lôžko z dreveného kameniva, </w:t>
      </w:r>
      <w:r>
        <w:rPr>
          <w:szCs w:val="24"/>
        </w:rPr>
        <w:t>frakcie 0-32</w:t>
      </w:r>
      <w:r w:rsidRPr="00E243A1">
        <w:rPr>
          <w:szCs w:val="24"/>
        </w:rPr>
        <w:t xml:space="preserve">mm hr. 100mm </w:t>
      </w:r>
    </w:p>
    <w:p w14:paraId="21EC113B" w14:textId="77777777" w:rsidR="0074281C" w:rsidRDefault="0074281C" w:rsidP="0074281C">
      <w:pPr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Štrkodrva frakcie 0-16mm, hr. 40mm</w:t>
      </w:r>
    </w:p>
    <w:p w14:paraId="785DCEAF" w14:textId="77777777" w:rsidR="0074281C" w:rsidRPr="003B098D" w:rsidRDefault="0074281C" w:rsidP="0074281C">
      <w:pPr>
        <w:numPr>
          <w:ilvl w:val="0"/>
          <w:numId w:val="12"/>
        </w:numPr>
        <w:spacing w:after="0"/>
        <w:rPr>
          <w:szCs w:val="24"/>
        </w:rPr>
      </w:pPr>
      <w:r w:rsidRPr="00E243A1">
        <w:rPr>
          <w:szCs w:val="24"/>
        </w:rPr>
        <w:lastRenderedPageBreak/>
        <w:t>Kamenný prach</w:t>
      </w:r>
      <w:r>
        <w:rPr>
          <w:szCs w:val="24"/>
        </w:rPr>
        <w:t xml:space="preserve"> frakcie 0-5mm</w:t>
      </w:r>
      <w:r w:rsidRPr="00E243A1">
        <w:rPr>
          <w:szCs w:val="24"/>
        </w:rPr>
        <w:t xml:space="preserve">, hr. </w:t>
      </w:r>
      <w:r>
        <w:rPr>
          <w:szCs w:val="24"/>
        </w:rPr>
        <w:t>6</w:t>
      </w:r>
      <w:r w:rsidRPr="00E243A1">
        <w:rPr>
          <w:szCs w:val="24"/>
        </w:rPr>
        <w:t xml:space="preserve">0mm </w:t>
      </w:r>
    </w:p>
    <w:p w14:paraId="41CF1000" w14:textId="77777777" w:rsidR="0074281C" w:rsidRPr="004938AB" w:rsidRDefault="0074281C" w:rsidP="0074281C">
      <w:pPr>
        <w:numPr>
          <w:ilvl w:val="0"/>
          <w:numId w:val="12"/>
        </w:numPr>
        <w:spacing w:after="0"/>
        <w:rPr>
          <w:szCs w:val="24"/>
        </w:rPr>
      </w:pPr>
      <w:r w:rsidRPr="00E243A1">
        <w:rPr>
          <w:szCs w:val="24"/>
        </w:rPr>
        <w:t xml:space="preserve">Lemovanie </w:t>
      </w:r>
      <w:r>
        <w:rPr>
          <w:szCs w:val="24"/>
        </w:rPr>
        <w:t>chodníka plastovým obrubníkom 45</w:t>
      </w:r>
      <w:r w:rsidRPr="00E243A1">
        <w:rPr>
          <w:szCs w:val="24"/>
        </w:rPr>
        <w:t>x</w:t>
      </w:r>
      <w:r>
        <w:rPr>
          <w:szCs w:val="24"/>
        </w:rPr>
        <w:t>80x1035</w:t>
      </w:r>
      <w:r w:rsidRPr="004938AB">
        <w:rPr>
          <w:szCs w:val="24"/>
        </w:rPr>
        <w:t>,</w:t>
      </w:r>
      <w:r>
        <w:rPr>
          <w:szCs w:val="24"/>
        </w:rPr>
        <w:t xml:space="preserve"> </w:t>
      </w:r>
      <w:r w:rsidRPr="004938AB">
        <w:rPr>
          <w:szCs w:val="24"/>
        </w:rPr>
        <w:t>olemovania budú kotvené kotviacimi prvkami a dosypané do potrebnej výšky</w:t>
      </w:r>
    </w:p>
    <w:p w14:paraId="3FA5B6BA" w14:textId="04E668B7" w:rsidR="0074281C" w:rsidRPr="00E243A1" w:rsidRDefault="0074281C" w:rsidP="0074281C">
      <w:pPr>
        <w:numPr>
          <w:ilvl w:val="0"/>
          <w:numId w:val="12"/>
        </w:numPr>
        <w:spacing w:after="0"/>
        <w:rPr>
          <w:szCs w:val="24"/>
        </w:rPr>
      </w:pPr>
      <w:r w:rsidRPr="00E243A1">
        <w:rPr>
          <w:szCs w:val="24"/>
        </w:rPr>
        <w:t>V mieste nap</w:t>
      </w:r>
      <w:r>
        <w:rPr>
          <w:szCs w:val="24"/>
        </w:rPr>
        <w:t>ojenia na jestvujúce asfaltové chodníky bude položený lem</w:t>
      </w:r>
      <w:r w:rsidR="00333040">
        <w:rPr>
          <w:szCs w:val="24"/>
        </w:rPr>
        <w:t xml:space="preserve">                       </w:t>
      </w:r>
      <w:r>
        <w:rPr>
          <w:szCs w:val="24"/>
        </w:rPr>
        <w:t xml:space="preserve"> z kamenných kociek, uložený do betónového lôžka</w:t>
      </w:r>
    </w:p>
    <w:p w14:paraId="535FD888" w14:textId="77777777" w:rsidR="0074281C" w:rsidRPr="00E243A1" w:rsidRDefault="0074281C" w:rsidP="00F975F1">
      <w:pPr>
        <w:numPr>
          <w:ilvl w:val="0"/>
          <w:numId w:val="11"/>
        </w:numPr>
        <w:rPr>
          <w:szCs w:val="24"/>
        </w:rPr>
      </w:pPr>
      <w:r w:rsidRPr="00E243A1">
        <w:rPr>
          <w:szCs w:val="24"/>
        </w:rPr>
        <w:t xml:space="preserve">Dokončovacie práce </w:t>
      </w:r>
    </w:p>
    <w:p w14:paraId="7AF8B233" w14:textId="3A8E7FB1" w:rsidR="0074281C" w:rsidRPr="00E243A1" w:rsidRDefault="0074281C" w:rsidP="0074281C">
      <w:pPr>
        <w:rPr>
          <w:b/>
          <w:szCs w:val="24"/>
        </w:rPr>
      </w:pPr>
      <w:r>
        <w:rPr>
          <w:b/>
          <w:szCs w:val="24"/>
        </w:rPr>
        <w:t>SO 03</w:t>
      </w:r>
      <w:r w:rsidRPr="00E243A1">
        <w:rPr>
          <w:b/>
          <w:szCs w:val="24"/>
        </w:rPr>
        <w:t xml:space="preserve"> </w:t>
      </w:r>
      <w:r>
        <w:rPr>
          <w:b/>
          <w:szCs w:val="24"/>
        </w:rPr>
        <w:t>Mestský mobiliár</w:t>
      </w:r>
    </w:p>
    <w:p w14:paraId="31D94909" w14:textId="77777777" w:rsidR="0074281C" w:rsidRPr="00E243A1" w:rsidRDefault="0074281C" w:rsidP="0074281C">
      <w:pPr>
        <w:rPr>
          <w:szCs w:val="24"/>
        </w:rPr>
      </w:pPr>
      <w:r w:rsidRPr="00E243A1">
        <w:rPr>
          <w:szCs w:val="24"/>
        </w:rPr>
        <w:t xml:space="preserve">Predmetom je </w:t>
      </w:r>
      <w:r>
        <w:rPr>
          <w:szCs w:val="24"/>
        </w:rPr>
        <w:t xml:space="preserve">osadenie mestského mobiliáru podľa projektu a technického listu dodávateľom. A odstránenie jestvujúceho mobiliáru. </w:t>
      </w:r>
      <w:r w:rsidRPr="00E243A1">
        <w:rPr>
          <w:szCs w:val="24"/>
        </w:rPr>
        <w:t>Rozsah prác:</w:t>
      </w:r>
    </w:p>
    <w:p w14:paraId="77D3B782" w14:textId="77777777" w:rsidR="0074281C" w:rsidRPr="00E243A1" w:rsidRDefault="0074281C" w:rsidP="0074281C">
      <w:pPr>
        <w:numPr>
          <w:ilvl w:val="0"/>
          <w:numId w:val="13"/>
        </w:numPr>
        <w:spacing w:after="0"/>
        <w:rPr>
          <w:szCs w:val="24"/>
        </w:rPr>
      </w:pPr>
      <w:r w:rsidRPr="00E243A1">
        <w:rPr>
          <w:szCs w:val="24"/>
        </w:rPr>
        <w:t>Výkopové práce, vrátane betónových základov</w:t>
      </w:r>
    </w:p>
    <w:p w14:paraId="1033DCE2" w14:textId="77777777" w:rsidR="0074281C" w:rsidRDefault="0074281C" w:rsidP="0074281C">
      <w:pPr>
        <w:numPr>
          <w:ilvl w:val="0"/>
          <w:numId w:val="13"/>
        </w:numPr>
        <w:spacing w:after="0"/>
        <w:rPr>
          <w:szCs w:val="24"/>
        </w:rPr>
      </w:pPr>
      <w:r w:rsidRPr="00E243A1">
        <w:rPr>
          <w:szCs w:val="24"/>
        </w:rPr>
        <w:t>Montážne práce</w:t>
      </w:r>
    </w:p>
    <w:p w14:paraId="30AD77E2" w14:textId="77777777" w:rsidR="0074281C" w:rsidRDefault="0074281C" w:rsidP="0074281C">
      <w:pPr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 xml:space="preserve">Demontáž jestvujúcich lavičiek </w:t>
      </w:r>
    </w:p>
    <w:p w14:paraId="09DCF245" w14:textId="77777777" w:rsidR="0074281C" w:rsidRPr="00E243A1" w:rsidRDefault="0074281C" w:rsidP="0074281C">
      <w:pPr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Odvoz lavičiek do skladov Čierneho lesa</w:t>
      </w:r>
    </w:p>
    <w:p w14:paraId="7C46FA62" w14:textId="77777777" w:rsidR="0074281C" w:rsidRPr="00E243A1" w:rsidRDefault="0074281C" w:rsidP="00F975F1">
      <w:pPr>
        <w:numPr>
          <w:ilvl w:val="0"/>
          <w:numId w:val="13"/>
        </w:numPr>
        <w:rPr>
          <w:szCs w:val="24"/>
        </w:rPr>
      </w:pPr>
      <w:r w:rsidRPr="00E243A1">
        <w:rPr>
          <w:szCs w:val="24"/>
        </w:rPr>
        <w:t>Dokončovacie práce</w:t>
      </w:r>
    </w:p>
    <w:p w14:paraId="466E0A21" w14:textId="77777777" w:rsidR="0074281C" w:rsidRPr="00E243A1" w:rsidRDefault="0074281C" w:rsidP="0074281C">
      <w:pPr>
        <w:rPr>
          <w:b/>
          <w:szCs w:val="24"/>
        </w:rPr>
      </w:pPr>
      <w:r>
        <w:rPr>
          <w:b/>
          <w:szCs w:val="24"/>
        </w:rPr>
        <w:t>SO 04 Kapotovanie rozvodných skríň</w:t>
      </w:r>
    </w:p>
    <w:p w14:paraId="06877FF7" w14:textId="0C933821" w:rsidR="0074281C" w:rsidRDefault="0074281C" w:rsidP="0074281C">
      <w:pPr>
        <w:rPr>
          <w:szCs w:val="24"/>
        </w:rPr>
      </w:pPr>
      <w:r w:rsidRPr="00E243A1">
        <w:rPr>
          <w:szCs w:val="24"/>
        </w:rPr>
        <w:t xml:space="preserve">Predmetom je </w:t>
      </w:r>
      <w:r>
        <w:rPr>
          <w:szCs w:val="24"/>
        </w:rPr>
        <w:t xml:space="preserve">výroba, osadenie a montáž opláštenia rozvodných skríň sibírskym smrekovcom. Pred výrobou je nevyhnutné si objekty presne zamerať a vyhotoviť dielenskú dokumentáciu podľa referenčných skríň. 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863"/>
        <w:gridCol w:w="1549"/>
        <w:gridCol w:w="1551"/>
        <w:gridCol w:w="1549"/>
        <w:gridCol w:w="1412"/>
      </w:tblGrid>
      <w:tr w:rsidR="0074281C" w:rsidRPr="0074281C" w14:paraId="53390370" w14:textId="77777777" w:rsidTr="006C61E3">
        <w:tc>
          <w:tcPr>
            <w:tcW w:w="1604" w:type="pct"/>
            <w:shd w:val="clear" w:color="auto" w:fill="DEEAF6"/>
            <w:vAlign w:val="center"/>
          </w:tcPr>
          <w:p w14:paraId="312BA9F5" w14:textId="112480F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b/>
                <w:color w:val="262626"/>
                <w:sz w:val="20"/>
                <w:szCs w:val="20"/>
                <w:lang w:eastAsia="sk-SK"/>
              </w:rPr>
              <w:t xml:space="preserve">Rozmery: elektroskrine na  </w:t>
            </w:r>
            <w:r w:rsidR="003D25F2" w:rsidRPr="00F975F1">
              <w:rPr>
                <w:rFonts w:eastAsia="Times New Roman" w:cs="Times New Roman"/>
                <w:b/>
                <w:color w:val="262626"/>
                <w:sz w:val="20"/>
                <w:szCs w:val="20"/>
                <w:lang w:eastAsia="sk-SK"/>
              </w:rPr>
              <w:t xml:space="preserve">       </w:t>
            </w:r>
            <w:r w:rsidRPr="00F975F1">
              <w:rPr>
                <w:rFonts w:eastAsia="Times New Roman" w:cs="Times New Roman"/>
                <w:b/>
                <w:color w:val="262626"/>
                <w:sz w:val="20"/>
                <w:szCs w:val="20"/>
                <w:lang w:eastAsia="sk-SK"/>
              </w:rPr>
              <w:t>Krížnej ulici</w:t>
            </w:r>
          </w:p>
        </w:tc>
        <w:tc>
          <w:tcPr>
            <w:tcW w:w="868" w:type="pct"/>
            <w:shd w:val="clear" w:color="auto" w:fill="DEEAF6"/>
            <w:vAlign w:val="center"/>
          </w:tcPr>
          <w:p w14:paraId="7323DE63" w14:textId="77777777" w:rsidR="0074281C" w:rsidRPr="00F975F1" w:rsidRDefault="0074281C" w:rsidP="00F975F1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869" w:type="pct"/>
            <w:shd w:val="clear" w:color="auto" w:fill="DEEAF6"/>
            <w:vAlign w:val="center"/>
          </w:tcPr>
          <w:p w14:paraId="4217799F" w14:textId="77777777" w:rsidR="0074281C" w:rsidRPr="00F975F1" w:rsidRDefault="0074281C" w:rsidP="00F975F1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Minimum </w:t>
            </w:r>
          </w:p>
        </w:tc>
        <w:tc>
          <w:tcPr>
            <w:tcW w:w="868" w:type="pct"/>
            <w:shd w:val="clear" w:color="auto" w:fill="DEEAF6"/>
            <w:vAlign w:val="center"/>
          </w:tcPr>
          <w:p w14:paraId="19A193C5" w14:textId="77777777" w:rsidR="0074281C" w:rsidRPr="00F975F1" w:rsidRDefault="0074281C" w:rsidP="00F975F1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Maximum</w:t>
            </w:r>
          </w:p>
        </w:tc>
        <w:tc>
          <w:tcPr>
            <w:tcW w:w="791" w:type="pct"/>
            <w:shd w:val="clear" w:color="auto" w:fill="DEEAF6"/>
            <w:vAlign w:val="center"/>
          </w:tcPr>
          <w:p w14:paraId="66AE9939" w14:textId="77777777" w:rsidR="0074281C" w:rsidRPr="00F975F1" w:rsidRDefault="0074281C" w:rsidP="00F975F1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Presná hodnota</w:t>
            </w:r>
          </w:p>
        </w:tc>
      </w:tr>
      <w:tr w:rsidR="0074281C" w:rsidRPr="0074281C" w14:paraId="43971B2D" w14:textId="77777777" w:rsidTr="006C61E3">
        <w:tc>
          <w:tcPr>
            <w:tcW w:w="1604" w:type="pct"/>
            <w:shd w:val="clear" w:color="auto" w:fill="auto"/>
            <w:vAlign w:val="center"/>
          </w:tcPr>
          <w:p w14:paraId="4D45B076" w14:textId="7777777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sz w:val="20"/>
                <w:szCs w:val="20"/>
                <w:lang w:eastAsia="sk-SK"/>
              </w:rPr>
              <w:t>Výška: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58F715E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869" w:type="pct"/>
            <w:vAlign w:val="center"/>
          </w:tcPr>
          <w:p w14:paraId="6AFCD619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868" w:type="pct"/>
            <w:vAlign w:val="center"/>
          </w:tcPr>
          <w:p w14:paraId="00AE6AB5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791" w:type="pct"/>
            <w:vAlign w:val="center"/>
          </w:tcPr>
          <w:p w14:paraId="3E404B57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165</w:t>
            </w:r>
          </w:p>
        </w:tc>
      </w:tr>
      <w:tr w:rsidR="0074281C" w:rsidRPr="0074281C" w14:paraId="710D3314" w14:textId="77777777" w:rsidTr="006C61E3">
        <w:tc>
          <w:tcPr>
            <w:tcW w:w="1604" w:type="pct"/>
            <w:shd w:val="clear" w:color="auto" w:fill="auto"/>
            <w:vAlign w:val="center"/>
          </w:tcPr>
          <w:p w14:paraId="16FA7919" w14:textId="7777777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sz w:val="20"/>
                <w:szCs w:val="20"/>
                <w:lang w:eastAsia="sk-SK"/>
              </w:rPr>
              <w:t>Šírka: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2046F34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869" w:type="pct"/>
            <w:vAlign w:val="center"/>
          </w:tcPr>
          <w:p w14:paraId="1F2ADD6F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868" w:type="pct"/>
            <w:vAlign w:val="center"/>
          </w:tcPr>
          <w:p w14:paraId="4A7DA000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791" w:type="pct"/>
            <w:vAlign w:val="center"/>
          </w:tcPr>
          <w:p w14:paraId="506FEE13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110</w:t>
            </w:r>
          </w:p>
        </w:tc>
      </w:tr>
      <w:tr w:rsidR="0074281C" w:rsidRPr="0074281C" w14:paraId="531BF81D" w14:textId="77777777" w:rsidTr="006C61E3">
        <w:tc>
          <w:tcPr>
            <w:tcW w:w="1604" w:type="pct"/>
            <w:shd w:val="clear" w:color="auto" w:fill="auto"/>
            <w:vAlign w:val="center"/>
          </w:tcPr>
          <w:p w14:paraId="226D80DA" w14:textId="7777777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sz w:val="20"/>
                <w:szCs w:val="20"/>
                <w:lang w:eastAsia="sk-SK"/>
              </w:rPr>
              <w:t>Dĺžka: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DF4E4F7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869" w:type="pct"/>
            <w:vAlign w:val="center"/>
          </w:tcPr>
          <w:p w14:paraId="1700B34C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868" w:type="pct"/>
            <w:vAlign w:val="center"/>
          </w:tcPr>
          <w:p w14:paraId="10EB1CBD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791" w:type="pct"/>
            <w:vAlign w:val="center"/>
          </w:tcPr>
          <w:p w14:paraId="26BA45FE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  <w:r w:rsidRPr="00F975F1"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  <w:t>120</w:t>
            </w:r>
          </w:p>
        </w:tc>
      </w:tr>
      <w:tr w:rsidR="0074281C" w:rsidRPr="0074281C" w14:paraId="4DFBD1FE" w14:textId="77777777" w:rsidTr="006C61E3">
        <w:tc>
          <w:tcPr>
            <w:tcW w:w="1604" w:type="pct"/>
            <w:shd w:val="clear" w:color="auto" w:fill="auto"/>
            <w:vAlign w:val="center"/>
          </w:tcPr>
          <w:p w14:paraId="730A5E61" w14:textId="7777777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FD39404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869" w:type="pct"/>
            <w:vAlign w:val="center"/>
          </w:tcPr>
          <w:p w14:paraId="22E24322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868" w:type="pct"/>
            <w:vAlign w:val="center"/>
          </w:tcPr>
          <w:p w14:paraId="5D36358F" w14:textId="77777777" w:rsidR="0074281C" w:rsidRPr="00F975F1" w:rsidRDefault="0074281C" w:rsidP="00F975F1">
            <w:pPr>
              <w:spacing w:before="40" w:after="40"/>
              <w:ind w:left="139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  <w:tc>
          <w:tcPr>
            <w:tcW w:w="791" w:type="pct"/>
            <w:vAlign w:val="center"/>
          </w:tcPr>
          <w:p w14:paraId="03B1905C" w14:textId="77777777" w:rsidR="0074281C" w:rsidRPr="00F975F1" w:rsidRDefault="0074281C" w:rsidP="00F975F1">
            <w:pPr>
              <w:spacing w:before="40" w:after="4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sk-SK"/>
              </w:rPr>
            </w:pPr>
          </w:p>
        </w:tc>
      </w:tr>
    </w:tbl>
    <w:p w14:paraId="28C61968" w14:textId="77777777" w:rsidR="0074281C" w:rsidRDefault="0074281C" w:rsidP="00875F6A">
      <w:pPr>
        <w:pStyle w:val="F3"/>
        <w:spacing w:before="0"/>
        <w:ind w:firstLine="0"/>
        <w:rPr>
          <w:sz w:val="24"/>
          <w:szCs w:val="24"/>
        </w:rPr>
      </w:pPr>
    </w:p>
    <w:p w14:paraId="2055357E" w14:textId="77777777" w:rsidR="0074281C" w:rsidRPr="0074281C" w:rsidRDefault="0074281C" w:rsidP="0074281C">
      <w:pPr>
        <w:spacing w:after="0"/>
        <w:jc w:val="left"/>
        <w:rPr>
          <w:rFonts w:eastAsia="Times New Roman" w:cs="Times New Roman"/>
          <w:szCs w:val="24"/>
          <w:lang w:eastAsia="sk-SK"/>
        </w:rPr>
      </w:pPr>
    </w:p>
    <w:p w14:paraId="7FF1D413" w14:textId="28577389" w:rsidR="0074281C" w:rsidRPr="0074281C" w:rsidRDefault="0074281C" w:rsidP="00600167">
      <w:pPr>
        <w:spacing w:after="0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7AEC2738" wp14:editId="1C95398E">
            <wp:extent cx="1709738" cy="2279650"/>
            <wp:effectExtent l="0" t="0" r="508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35" cy="228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3FB">
        <w:rPr>
          <w:rFonts w:eastAsia="Times New Roman" w:cs="Times New Roman"/>
          <w:szCs w:val="24"/>
          <w:lang w:eastAsia="sk-SK"/>
        </w:rPr>
        <w:t xml:space="preserve">       </w:t>
      </w:r>
      <w:r w:rsidR="00DB63FB"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0069CBA4" wp14:editId="5139AE79">
            <wp:extent cx="1714500" cy="2278330"/>
            <wp:effectExtent l="0" t="0" r="0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41" cy="229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3FB">
        <w:rPr>
          <w:rFonts w:eastAsia="Times New Roman" w:cs="Times New Roman"/>
          <w:szCs w:val="24"/>
          <w:lang w:eastAsia="sk-SK"/>
        </w:rPr>
        <w:t xml:space="preserve">      </w:t>
      </w:r>
      <w:r w:rsidR="00DB63FB"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3A41AA05" wp14:editId="3CDF537B">
            <wp:extent cx="1704975" cy="2280981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30" cy="228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1CAAB" w14:textId="2ECA50D0" w:rsidR="0074281C" w:rsidRPr="00F975F1" w:rsidRDefault="00DB63FB" w:rsidP="00F975F1">
      <w:pPr>
        <w:tabs>
          <w:tab w:val="left" w:pos="3119"/>
          <w:tab w:val="left" w:pos="6237"/>
        </w:tabs>
        <w:spacing w:after="0"/>
        <w:jc w:val="left"/>
        <w:rPr>
          <w:rFonts w:eastAsia="Times New Roman" w:cs="Times New Roman"/>
          <w:sz w:val="20"/>
          <w:szCs w:val="20"/>
          <w:lang w:eastAsia="sk-SK"/>
        </w:rPr>
      </w:pPr>
      <w:r w:rsidRPr="00F975F1">
        <w:rPr>
          <w:rFonts w:eastAsia="Times New Roman" w:cs="Times New Roman"/>
          <w:sz w:val="20"/>
          <w:szCs w:val="20"/>
          <w:lang w:eastAsia="sk-SK"/>
        </w:rPr>
        <w:t xml:space="preserve">Obr. </w:t>
      </w:r>
      <w:r w:rsidR="00600167">
        <w:rPr>
          <w:rFonts w:eastAsia="Times New Roman" w:cs="Times New Roman"/>
          <w:sz w:val="20"/>
          <w:szCs w:val="20"/>
          <w:lang w:eastAsia="sk-SK"/>
        </w:rPr>
        <w:t xml:space="preserve">č. </w:t>
      </w:r>
      <w:r w:rsidRPr="00F975F1">
        <w:rPr>
          <w:rFonts w:eastAsia="Times New Roman" w:cs="Times New Roman"/>
          <w:sz w:val="20"/>
          <w:szCs w:val="20"/>
          <w:lang w:eastAsia="sk-SK"/>
        </w:rPr>
        <w:t>1</w:t>
      </w:r>
      <w:r w:rsidR="00600167">
        <w:rPr>
          <w:rFonts w:eastAsia="Times New Roman" w:cs="Times New Roman"/>
          <w:sz w:val="20"/>
          <w:szCs w:val="20"/>
          <w:lang w:eastAsia="sk-SK"/>
        </w:rPr>
        <w:tab/>
      </w:r>
      <w:r w:rsidRPr="00F975F1">
        <w:rPr>
          <w:rFonts w:eastAsia="Times New Roman" w:cs="Times New Roman"/>
          <w:sz w:val="20"/>
          <w:szCs w:val="20"/>
          <w:lang w:eastAsia="sk-SK"/>
        </w:rPr>
        <w:t xml:space="preserve">Obr. </w:t>
      </w:r>
      <w:r w:rsidR="00600167">
        <w:rPr>
          <w:rFonts w:eastAsia="Times New Roman" w:cs="Times New Roman"/>
          <w:sz w:val="20"/>
          <w:szCs w:val="20"/>
          <w:lang w:eastAsia="sk-SK"/>
        </w:rPr>
        <w:t xml:space="preserve">č. </w:t>
      </w:r>
      <w:r w:rsidRPr="00F975F1">
        <w:rPr>
          <w:rFonts w:eastAsia="Times New Roman" w:cs="Times New Roman"/>
          <w:sz w:val="20"/>
          <w:szCs w:val="20"/>
          <w:lang w:eastAsia="sk-SK"/>
        </w:rPr>
        <w:t>2</w:t>
      </w:r>
      <w:r w:rsidR="00600167">
        <w:rPr>
          <w:rFonts w:eastAsia="Times New Roman" w:cs="Times New Roman"/>
          <w:sz w:val="20"/>
          <w:szCs w:val="20"/>
          <w:lang w:eastAsia="sk-SK"/>
        </w:rPr>
        <w:tab/>
      </w:r>
      <w:r w:rsidRPr="00F975F1">
        <w:rPr>
          <w:rFonts w:eastAsia="Times New Roman" w:cs="Times New Roman"/>
          <w:sz w:val="20"/>
          <w:szCs w:val="20"/>
          <w:lang w:eastAsia="sk-SK"/>
        </w:rPr>
        <w:t xml:space="preserve">Obr. </w:t>
      </w:r>
      <w:r w:rsidR="00600167">
        <w:rPr>
          <w:rFonts w:eastAsia="Times New Roman" w:cs="Times New Roman"/>
          <w:sz w:val="20"/>
          <w:szCs w:val="20"/>
          <w:lang w:eastAsia="sk-SK"/>
        </w:rPr>
        <w:t xml:space="preserve">č. </w:t>
      </w:r>
      <w:r w:rsidRPr="00F975F1">
        <w:rPr>
          <w:rFonts w:eastAsia="Times New Roman" w:cs="Times New Roman"/>
          <w:sz w:val="20"/>
          <w:szCs w:val="20"/>
          <w:lang w:eastAsia="sk-SK"/>
        </w:rPr>
        <w:t xml:space="preserve">3 </w:t>
      </w:r>
    </w:p>
    <w:p w14:paraId="6A626831" w14:textId="5C4419EF" w:rsidR="00600167" w:rsidRDefault="00600167" w:rsidP="0074281C">
      <w:pPr>
        <w:spacing w:after="0"/>
        <w:jc w:val="left"/>
        <w:rPr>
          <w:rFonts w:eastAsia="Times New Roman" w:cs="Times New Roman"/>
          <w:szCs w:val="24"/>
          <w:lang w:eastAsia="sk-SK"/>
        </w:rPr>
      </w:pPr>
    </w:p>
    <w:p w14:paraId="1469E985" w14:textId="520969C1" w:rsidR="00600167" w:rsidRPr="0074281C" w:rsidRDefault="00600167" w:rsidP="00600167">
      <w:p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74281C">
        <w:rPr>
          <w:rFonts w:eastAsia="Times New Roman" w:cs="Times New Roman"/>
          <w:szCs w:val="24"/>
          <w:lang w:eastAsia="sk-SK"/>
        </w:rPr>
        <w:t xml:space="preserve">Obr. </w:t>
      </w:r>
      <w:r>
        <w:rPr>
          <w:rFonts w:eastAsia="Times New Roman" w:cs="Times New Roman"/>
          <w:szCs w:val="24"/>
          <w:lang w:eastAsia="sk-SK"/>
        </w:rPr>
        <w:t xml:space="preserve">č. </w:t>
      </w:r>
      <w:r w:rsidRPr="0074281C">
        <w:rPr>
          <w:rFonts w:eastAsia="Times New Roman" w:cs="Times New Roman"/>
          <w:szCs w:val="24"/>
          <w:lang w:eastAsia="sk-SK"/>
        </w:rPr>
        <w:t xml:space="preserve">1 </w:t>
      </w:r>
      <w:r>
        <w:rPr>
          <w:rFonts w:eastAsia="Times New Roman" w:cs="Times New Roman"/>
          <w:szCs w:val="24"/>
          <w:lang w:eastAsia="sk-SK"/>
        </w:rPr>
        <w:t xml:space="preserve">– </w:t>
      </w:r>
      <w:r w:rsidRPr="0074281C">
        <w:rPr>
          <w:rFonts w:eastAsia="Times New Roman" w:cs="Times New Roman"/>
          <w:szCs w:val="24"/>
          <w:lang w:eastAsia="sk-SK"/>
        </w:rPr>
        <w:t>referenčný príklad, Záhradnícka ulica Bratislava</w:t>
      </w:r>
    </w:p>
    <w:p w14:paraId="3E304332" w14:textId="3295B73F" w:rsidR="00600167" w:rsidRPr="0074281C" w:rsidRDefault="00600167" w:rsidP="00F975F1">
      <w:pPr>
        <w:rPr>
          <w:rFonts w:eastAsia="Times New Roman" w:cs="Times New Roman"/>
          <w:szCs w:val="24"/>
          <w:lang w:eastAsia="sk-SK"/>
        </w:rPr>
      </w:pPr>
      <w:r w:rsidRPr="0074281C">
        <w:rPr>
          <w:rFonts w:eastAsia="Times New Roman" w:cs="Times New Roman"/>
          <w:szCs w:val="24"/>
          <w:lang w:eastAsia="sk-SK"/>
        </w:rPr>
        <w:t xml:space="preserve">Obr. </w:t>
      </w:r>
      <w:r>
        <w:rPr>
          <w:rFonts w:eastAsia="Times New Roman" w:cs="Times New Roman"/>
          <w:szCs w:val="24"/>
          <w:lang w:eastAsia="sk-SK"/>
        </w:rPr>
        <w:t xml:space="preserve">č. </w:t>
      </w:r>
      <w:r w:rsidRPr="0074281C">
        <w:rPr>
          <w:rFonts w:eastAsia="Times New Roman" w:cs="Times New Roman"/>
          <w:szCs w:val="24"/>
          <w:lang w:eastAsia="sk-SK"/>
        </w:rPr>
        <w:t>2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AC2C21">
        <w:rPr>
          <w:rFonts w:eastAsia="Times New Roman" w:cs="Times New Roman"/>
          <w:szCs w:val="24"/>
          <w:lang w:eastAsia="sk-SK"/>
        </w:rPr>
        <w:t>a</w:t>
      </w:r>
      <w:r>
        <w:rPr>
          <w:rFonts w:eastAsia="Times New Roman" w:cs="Times New Roman"/>
          <w:szCs w:val="24"/>
          <w:lang w:eastAsia="sk-SK"/>
        </w:rPr>
        <w:t xml:space="preserve"> č. </w:t>
      </w:r>
      <w:r w:rsidRPr="0074281C">
        <w:rPr>
          <w:rFonts w:eastAsia="Times New Roman" w:cs="Times New Roman"/>
          <w:szCs w:val="24"/>
          <w:lang w:eastAsia="sk-SK"/>
        </w:rPr>
        <w:t>3</w:t>
      </w:r>
      <w:r>
        <w:rPr>
          <w:rFonts w:eastAsia="Times New Roman" w:cs="Times New Roman"/>
          <w:szCs w:val="24"/>
          <w:lang w:eastAsia="sk-SK"/>
        </w:rPr>
        <w:t xml:space="preserve"> –</w:t>
      </w:r>
      <w:r w:rsidRPr="0074281C">
        <w:rPr>
          <w:rFonts w:eastAsia="Times New Roman" w:cs="Times New Roman"/>
          <w:szCs w:val="24"/>
          <w:lang w:eastAsia="sk-SK"/>
        </w:rPr>
        <w:t xml:space="preserve"> elektro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74281C">
        <w:rPr>
          <w:rFonts w:eastAsia="Times New Roman" w:cs="Times New Roman"/>
          <w:szCs w:val="24"/>
          <w:lang w:eastAsia="sk-SK"/>
        </w:rPr>
        <w:t>skrine na opláštenie Krížna ulica, podľa referencie zrealizovaných skríň Záhradnícka ulica</w:t>
      </w:r>
      <w:r>
        <w:rPr>
          <w:rFonts w:eastAsia="Times New Roman" w:cs="Times New Roman"/>
          <w:szCs w:val="24"/>
          <w:lang w:eastAsia="sk-SK"/>
        </w:rPr>
        <w:t>.</w:t>
      </w:r>
    </w:p>
    <w:p w14:paraId="5C8EB1A0" w14:textId="207B64CA" w:rsidR="00600167" w:rsidRPr="0074281C" w:rsidRDefault="00F975F1" w:rsidP="00F975F1">
      <w:p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P</w:t>
      </w:r>
      <w:r w:rsidR="00600167" w:rsidRPr="0074281C">
        <w:rPr>
          <w:rFonts w:eastAsia="Times New Roman" w:cs="Times New Roman"/>
          <w:szCs w:val="24"/>
          <w:lang w:eastAsia="sk-SK"/>
        </w:rPr>
        <w:t>red realizáciou je potrebné objekty zamerať a vypracovať dielenskú dokumentáciu, v dizajne podľa referenčného príkladu na Záhradníckej</w:t>
      </w:r>
      <w:r w:rsidR="00600167">
        <w:rPr>
          <w:rFonts w:eastAsia="Times New Roman" w:cs="Times New Roman"/>
          <w:szCs w:val="24"/>
          <w:lang w:eastAsia="sk-SK"/>
        </w:rPr>
        <w:t>.</w:t>
      </w:r>
    </w:p>
    <w:tbl>
      <w:tblPr>
        <w:tblW w:w="4977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4"/>
        <w:gridCol w:w="3417"/>
        <w:gridCol w:w="7"/>
        <w:gridCol w:w="5497"/>
        <w:gridCol w:w="65"/>
      </w:tblGrid>
      <w:tr w:rsidR="00DB63FB" w:rsidRPr="00414469" w14:paraId="66AC1A24" w14:textId="77777777" w:rsidTr="006C61E3">
        <w:tc>
          <w:tcPr>
            <w:tcW w:w="1917" w:type="pct"/>
            <w:gridSpan w:val="3"/>
            <w:tcBorders>
              <w:bottom w:val="single" w:sz="4" w:space="0" w:color="5B9BD5"/>
            </w:tcBorders>
            <w:shd w:val="clear" w:color="auto" w:fill="DEEAF6"/>
          </w:tcPr>
          <w:p w14:paraId="2B83F31F" w14:textId="77777777" w:rsidR="00DB63FB" w:rsidRPr="00414469" w:rsidRDefault="00DB63FB" w:rsidP="006C61E3">
            <w:pPr>
              <w:spacing w:before="120" w:after="120"/>
              <w:rPr>
                <w:b/>
                <w:sz w:val="18"/>
                <w:szCs w:val="18"/>
              </w:rPr>
            </w:pPr>
            <w:r w:rsidRPr="00414469">
              <w:rPr>
                <w:color w:val="262626"/>
                <w:sz w:val="18"/>
                <w:szCs w:val="18"/>
              </w:rPr>
              <w:br w:type="page"/>
            </w:r>
            <w:r w:rsidRPr="00414469">
              <w:rPr>
                <w:color w:val="262626"/>
                <w:sz w:val="18"/>
                <w:szCs w:val="18"/>
              </w:rPr>
              <w:br w:type="page"/>
            </w:r>
            <w:r w:rsidRPr="00414469">
              <w:rPr>
                <w:b/>
                <w:color w:val="262626"/>
                <w:sz w:val="18"/>
                <w:szCs w:val="18"/>
              </w:rPr>
              <w:t>Technické vlastnosti / termíny</w:t>
            </w:r>
          </w:p>
        </w:tc>
        <w:tc>
          <w:tcPr>
            <w:tcW w:w="3083" w:type="pct"/>
            <w:gridSpan w:val="2"/>
            <w:shd w:val="clear" w:color="auto" w:fill="DEEAF6"/>
          </w:tcPr>
          <w:p w14:paraId="0012A762" w14:textId="77777777" w:rsidR="00DB63FB" w:rsidRPr="00414469" w:rsidRDefault="00DB63FB" w:rsidP="006C61E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14469">
              <w:rPr>
                <w:b/>
                <w:color w:val="262626"/>
                <w:sz w:val="18"/>
                <w:szCs w:val="18"/>
              </w:rPr>
              <w:t>Hodnota / charakteristika</w:t>
            </w:r>
          </w:p>
        </w:tc>
      </w:tr>
      <w:tr w:rsidR="00DB63FB" w:rsidRPr="00414469" w14:paraId="620EBB19" w14:textId="77777777" w:rsidTr="006C61E3">
        <w:tc>
          <w:tcPr>
            <w:tcW w:w="1917" w:type="pct"/>
            <w:gridSpan w:val="3"/>
            <w:shd w:val="clear" w:color="auto" w:fill="auto"/>
          </w:tcPr>
          <w:p w14:paraId="7373B21D" w14:textId="77777777" w:rsidR="00DB63FB" w:rsidRPr="00414469" w:rsidRDefault="00DB63FB" w:rsidP="006C61E3">
            <w:pPr>
              <w:spacing w:before="120" w:after="120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>Materiál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3885049D" w14:textId="77777777" w:rsidR="00DB63FB" w:rsidRPr="00414469" w:rsidRDefault="00DB63FB" w:rsidP="006C61E3">
            <w:pPr>
              <w:spacing w:before="120" w:after="120"/>
              <w:ind w:left="139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 xml:space="preserve">Trvácne drevo </w:t>
            </w:r>
            <w:r>
              <w:rPr>
                <w:sz w:val="18"/>
                <w:szCs w:val="18"/>
              </w:rPr>
              <w:t>zo sibírskeho smrekovca</w:t>
            </w:r>
            <w:r w:rsidRPr="00414469">
              <w:rPr>
                <w:sz w:val="18"/>
                <w:szCs w:val="18"/>
              </w:rPr>
              <w:t xml:space="preserve"> uchytené na vyrobenú konštrukciu.</w:t>
            </w:r>
          </w:p>
        </w:tc>
      </w:tr>
      <w:tr w:rsidR="00DB63FB" w:rsidRPr="00414469" w14:paraId="5CDA9E39" w14:textId="77777777" w:rsidTr="006C61E3">
        <w:trPr>
          <w:trHeight w:val="1545"/>
        </w:trPr>
        <w:tc>
          <w:tcPr>
            <w:tcW w:w="1917" w:type="pct"/>
            <w:gridSpan w:val="3"/>
            <w:shd w:val="clear" w:color="auto" w:fill="auto"/>
          </w:tcPr>
          <w:p w14:paraId="6A2C9388" w14:textId="77777777" w:rsidR="00DB63FB" w:rsidRPr="00414469" w:rsidRDefault="00DB63FB" w:rsidP="006C61E3">
            <w:pPr>
              <w:spacing w:before="120" w:after="120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>Otváracie dvierka na opláštení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4B24C65C" w14:textId="77777777" w:rsidR="00DB63FB" w:rsidRPr="00414469" w:rsidRDefault="00DB63FB" w:rsidP="006C61E3">
            <w:pPr>
              <w:spacing w:before="120" w:after="120"/>
              <w:ind w:left="139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 xml:space="preserve">Opláštenie musí umožniť prístup k rozvádzačom v prípade potreby. Otváracie dvierka pred každým rozvádzačom musia byť z rovnakého  trvácneho dreva. Dvierka sa musia dať </w:t>
            </w:r>
            <w:r>
              <w:rPr>
                <w:sz w:val="18"/>
                <w:szCs w:val="18"/>
              </w:rPr>
              <w:t>uzavrieť</w:t>
            </w:r>
            <w:r w:rsidRPr="00414469">
              <w:rPr>
                <w:sz w:val="18"/>
                <w:szCs w:val="18"/>
              </w:rPr>
              <w:t xml:space="preserve">. Opláštené dvierka musia umožniť otvorenie dverí na skrini </w:t>
            </w:r>
            <w:r>
              <w:rPr>
                <w:sz w:val="18"/>
                <w:szCs w:val="18"/>
              </w:rPr>
              <w:t xml:space="preserve">min. </w:t>
            </w:r>
            <w:r w:rsidRPr="00414469">
              <w:rPr>
                <w:sz w:val="18"/>
                <w:szCs w:val="18"/>
              </w:rPr>
              <w:t>do 90° uhla pre ľahký prístup</w:t>
            </w:r>
            <w:r>
              <w:rPr>
                <w:sz w:val="18"/>
                <w:szCs w:val="18"/>
              </w:rPr>
              <w:t xml:space="preserve"> k rozvádzačom, a byť ľahko demontovateľné</w:t>
            </w:r>
          </w:p>
        </w:tc>
      </w:tr>
      <w:tr w:rsidR="00DB63FB" w:rsidRPr="00414469" w14:paraId="00B99CFE" w14:textId="77777777" w:rsidTr="006C61E3">
        <w:tc>
          <w:tcPr>
            <w:tcW w:w="1917" w:type="pct"/>
            <w:gridSpan w:val="3"/>
            <w:shd w:val="clear" w:color="auto" w:fill="auto"/>
          </w:tcPr>
          <w:p w14:paraId="49F4D2A3" w14:textId="77777777" w:rsidR="00DB63FB" w:rsidRPr="00414469" w:rsidRDefault="00DB63FB" w:rsidP="006C61E3">
            <w:pPr>
              <w:spacing w:before="120" w:after="120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>Požiadavky</w:t>
            </w:r>
            <w:r>
              <w:rPr>
                <w:sz w:val="18"/>
                <w:szCs w:val="18"/>
              </w:rPr>
              <w:t>:</w:t>
            </w:r>
            <w:r w:rsidRPr="00414469">
              <w:rPr>
                <w:sz w:val="18"/>
                <w:szCs w:val="18"/>
              </w:rPr>
              <w:t xml:space="preserve"> </w:t>
            </w:r>
            <w:r w:rsidRPr="00BE613C">
              <w:rPr>
                <w:b/>
                <w:bCs/>
                <w:sz w:val="18"/>
                <w:szCs w:val="18"/>
              </w:rPr>
              <w:t>príklad – nákres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5041A090" w14:textId="62A89FB3" w:rsidR="00DB63FB" w:rsidRPr="00414469" w:rsidRDefault="00DB63FB" w:rsidP="006C61E3">
            <w:pPr>
              <w:spacing w:before="120" w:after="120"/>
              <w:ind w:left="139"/>
              <w:rPr>
                <w:sz w:val="18"/>
                <w:szCs w:val="18"/>
              </w:rPr>
            </w:pPr>
            <w:r w:rsidRPr="00414469">
              <w:rPr>
                <w:noProof/>
                <w:sz w:val="18"/>
                <w:szCs w:val="18"/>
              </w:rPr>
              <w:drawing>
                <wp:inline distT="0" distB="0" distL="0" distR="0" wp14:anchorId="1F7A2256" wp14:editId="1E23E8D9">
                  <wp:extent cx="3114675" cy="3971925"/>
                  <wp:effectExtent l="0" t="0" r="9525" b="9525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FB" w:rsidRPr="00414469" w14:paraId="5C068E1F" w14:textId="77777777" w:rsidTr="006C61E3">
        <w:tc>
          <w:tcPr>
            <w:tcW w:w="1917" w:type="pct"/>
            <w:gridSpan w:val="3"/>
            <w:shd w:val="clear" w:color="auto" w:fill="auto"/>
          </w:tcPr>
          <w:p w14:paraId="6BC8663B" w14:textId="77777777" w:rsidR="00DB63FB" w:rsidRPr="00414469" w:rsidRDefault="00DB63FB" w:rsidP="006C61E3">
            <w:pPr>
              <w:spacing w:before="120" w:after="120"/>
              <w:rPr>
                <w:sz w:val="18"/>
                <w:szCs w:val="18"/>
              </w:rPr>
            </w:pPr>
            <w:r w:rsidRPr="00414469">
              <w:rPr>
                <w:sz w:val="18"/>
                <w:szCs w:val="18"/>
              </w:rPr>
              <w:t>Odhadovaný dátum prác: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0206DADA" w14:textId="028912D5" w:rsidR="00333040" w:rsidRPr="00414469" w:rsidRDefault="008115A8" w:rsidP="008115A8">
            <w:pPr>
              <w:spacing w:before="120" w:after="120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podľa návrhu úspešného uchádzača</w:t>
            </w:r>
          </w:p>
        </w:tc>
      </w:tr>
      <w:tr w:rsidR="00DB63FB" w:rsidRPr="00414469" w14:paraId="0FF0A682" w14:textId="77777777" w:rsidTr="006C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36" w:type="pct"/>
        </w:trPr>
        <w:tc>
          <w:tcPr>
            <w:tcW w:w="1894" w:type="pct"/>
            <w:shd w:val="clear" w:color="auto" w:fill="C0C0C0"/>
          </w:tcPr>
          <w:p w14:paraId="4E7A1803" w14:textId="77777777" w:rsidR="00DB63FB" w:rsidRPr="00414469" w:rsidRDefault="00DB63FB" w:rsidP="006C61E3">
            <w:pPr>
              <w:rPr>
                <w:b/>
                <w:color w:val="262626"/>
                <w:sz w:val="18"/>
                <w:szCs w:val="18"/>
              </w:rPr>
            </w:pPr>
            <w:r w:rsidRPr="00414469">
              <w:rPr>
                <w:b/>
                <w:color w:val="262626"/>
                <w:sz w:val="18"/>
                <w:szCs w:val="18"/>
              </w:rPr>
              <w:t>Technické vlastnosti</w:t>
            </w:r>
          </w:p>
        </w:tc>
        <w:tc>
          <w:tcPr>
            <w:tcW w:w="3051" w:type="pct"/>
            <w:gridSpan w:val="2"/>
            <w:shd w:val="clear" w:color="auto" w:fill="C0C0C0"/>
          </w:tcPr>
          <w:p w14:paraId="3CF7F7F7" w14:textId="77777777" w:rsidR="00DB63FB" w:rsidRPr="00414469" w:rsidRDefault="00DB63FB" w:rsidP="006C61E3">
            <w:pPr>
              <w:rPr>
                <w:b/>
                <w:color w:val="262626"/>
                <w:sz w:val="18"/>
                <w:szCs w:val="18"/>
              </w:rPr>
            </w:pPr>
            <w:r w:rsidRPr="00414469">
              <w:rPr>
                <w:b/>
                <w:color w:val="262626"/>
                <w:sz w:val="18"/>
                <w:szCs w:val="18"/>
              </w:rPr>
              <w:t>Hodnota / charakteristika</w:t>
            </w:r>
          </w:p>
        </w:tc>
      </w:tr>
      <w:tr w:rsidR="00DB63FB" w:rsidRPr="00414469" w14:paraId="1ADA8C2B" w14:textId="77777777" w:rsidTr="006C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36" w:type="pct"/>
        </w:trPr>
        <w:tc>
          <w:tcPr>
            <w:tcW w:w="1894" w:type="pct"/>
            <w:shd w:val="clear" w:color="auto" w:fill="auto"/>
          </w:tcPr>
          <w:p w14:paraId="1E3092A9" w14:textId="77777777" w:rsidR="00DB63FB" w:rsidRPr="00414469" w:rsidRDefault="00DB63FB" w:rsidP="006C61E3">
            <w:pPr>
              <w:rPr>
                <w:color w:val="262626"/>
                <w:sz w:val="18"/>
                <w:szCs w:val="18"/>
              </w:rPr>
            </w:pPr>
            <w:r w:rsidRPr="00414469">
              <w:rPr>
                <w:color w:val="262626"/>
                <w:sz w:val="18"/>
                <w:szCs w:val="18"/>
              </w:rPr>
              <w:t>Použité drevo.</w:t>
            </w:r>
          </w:p>
        </w:tc>
        <w:tc>
          <w:tcPr>
            <w:tcW w:w="3051" w:type="pct"/>
            <w:gridSpan w:val="2"/>
            <w:shd w:val="clear" w:color="auto" w:fill="auto"/>
          </w:tcPr>
          <w:p w14:paraId="4877112B" w14:textId="77777777" w:rsidR="00DB63FB" w:rsidRPr="00414469" w:rsidRDefault="00DB63FB" w:rsidP="006C61E3">
            <w:pPr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Sibírsky smrekovec</w:t>
            </w:r>
          </w:p>
        </w:tc>
      </w:tr>
      <w:tr w:rsidR="00DB63FB" w:rsidRPr="00414469" w14:paraId="1C256315" w14:textId="77777777" w:rsidTr="006C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36" w:type="pct"/>
        </w:trPr>
        <w:tc>
          <w:tcPr>
            <w:tcW w:w="1894" w:type="pct"/>
            <w:shd w:val="clear" w:color="auto" w:fill="auto"/>
          </w:tcPr>
          <w:p w14:paraId="4D401687" w14:textId="77777777" w:rsidR="00DB63FB" w:rsidRPr="00414469" w:rsidRDefault="00DB63FB" w:rsidP="006C61E3">
            <w:pPr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Opláštenie a otváranie</w:t>
            </w:r>
          </w:p>
        </w:tc>
        <w:tc>
          <w:tcPr>
            <w:tcW w:w="3051" w:type="pct"/>
            <w:gridSpan w:val="2"/>
            <w:shd w:val="clear" w:color="auto" w:fill="auto"/>
          </w:tcPr>
          <w:p w14:paraId="2EAD08C5" w14:textId="77777777" w:rsidR="00DB63FB" w:rsidRPr="00414469" w:rsidRDefault="00DB63FB" w:rsidP="006C61E3">
            <w:pPr>
              <w:rPr>
                <w:color w:val="262626"/>
                <w:sz w:val="18"/>
                <w:szCs w:val="18"/>
              </w:rPr>
            </w:pPr>
            <w:r w:rsidRPr="00414469">
              <w:rPr>
                <w:color w:val="262626"/>
                <w:sz w:val="18"/>
                <w:szCs w:val="18"/>
              </w:rPr>
              <w:t xml:space="preserve">Opláštenie musí umožniť prístup k rozvádzačom v prípade potreby. Otváracie dvierka pred každým rozvádzačom musia byť z rovnakého </w:t>
            </w:r>
            <w:r>
              <w:rPr>
                <w:color w:val="262626"/>
                <w:sz w:val="18"/>
                <w:szCs w:val="18"/>
              </w:rPr>
              <w:t>t</w:t>
            </w:r>
            <w:r w:rsidRPr="00414469">
              <w:rPr>
                <w:color w:val="262626"/>
                <w:sz w:val="18"/>
                <w:szCs w:val="18"/>
              </w:rPr>
              <w:t>rvácneho dreva</w:t>
            </w:r>
            <w:r>
              <w:rPr>
                <w:color w:val="262626"/>
                <w:sz w:val="18"/>
                <w:szCs w:val="18"/>
              </w:rPr>
              <w:t xml:space="preserve"> – sibírsky smrekovec</w:t>
            </w:r>
            <w:r w:rsidRPr="00414469">
              <w:rPr>
                <w:color w:val="262626"/>
                <w:sz w:val="18"/>
                <w:szCs w:val="18"/>
              </w:rPr>
              <w:t xml:space="preserve">. Dvierka sa musia dať </w:t>
            </w:r>
            <w:r>
              <w:rPr>
                <w:color w:val="262626"/>
                <w:sz w:val="18"/>
                <w:szCs w:val="18"/>
              </w:rPr>
              <w:t>u</w:t>
            </w:r>
            <w:r w:rsidRPr="00414469">
              <w:rPr>
                <w:color w:val="262626"/>
                <w:sz w:val="18"/>
                <w:szCs w:val="18"/>
              </w:rPr>
              <w:t>za</w:t>
            </w:r>
            <w:r>
              <w:rPr>
                <w:color w:val="262626"/>
                <w:sz w:val="18"/>
                <w:szCs w:val="18"/>
              </w:rPr>
              <w:t>vrieť univerzálnym montážnym kľúčom</w:t>
            </w:r>
            <w:r w:rsidRPr="00414469">
              <w:rPr>
                <w:color w:val="262626"/>
                <w:sz w:val="18"/>
                <w:szCs w:val="18"/>
              </w:rPr>
              <w:t xml:space="preserve">. </w:t>
            </w:r>
          </w:p>
          <w:p w14:paraId="3F362B3C" w14:textId="77777777" w:rsidR="00DB63FB" w:rsidRPr="00414469" w:rsidRDefault="00DB63FB" w:rsidP="006C61E3">
            <w:pPr>
              <w:rPr>
                <w:color w:val="262626"/>
                <w:sz w:val="18"/>
                <w:szCs w:val="18"/>
              </w:rPr>
            </w:pPr>
            <w:r w:rsidRPr="00414469">
              <w:rPr>
                <w:color w:val="262626"/>
                <w:sz w:val="18"/>
                <w:szCs w:val="18"/>
              </w:rPr>
              <w:t>Spôsob otváranie/zamykanie je dvere na pántoch aby bol umožnený prístup k dverám súčasných skríň.</w:t>
            </w:r>
            <w:r w:rsidRPr="00414469" w:rsidDel="00737421">
              <w:rPr>
                <w:color w:val="262626"/>
                <w:sz w:val="18"/>
                <w:szCs w:val="18"/>
              </w:rPr>
              <w:t xml:space="preserve"> </w:t>
            </w:r>
            <w:r w:rsidRPr="00414469">
              <w:rPr>
                <w:iCs/>
                <w:color w:val="262626"/>
                <w:sz w:val="18"/>
                <w:szCs w:val="18"/>
              </w:rPr>
              <w:t xml:space="preserve">Drevené opláštenie elektrorozvádzačov musí byť vybudované tak, aby sa dalo otvoriť – s dvierkami na pántoch aby bol umožnený prístup technikom do samotných rozvádzačov. Zároveň drevené opláštenie musí byť odolné voči vandalizmu, pevne ukotvené </w:t>
            </w:r>
            <w:r>
              <w:rPr>
                <w:iCs/>
                <w:color w:val="262626"/>
                <w:sz w:val="18"/>
                <w:szCs w:val="18"/>
              </w:rPr>
              <w:t xml:space="preserve">na betónové pätky voľne položené na teréne a skryté pod opláštením. Samotné steny opláštenia musia byť ľahko demontovateľné pre prípad </w:t>
            </w:r>
            <w:r>
              <w:rPr>
                <w:iCs/>
                <w:color w:val="262626"/>
                <w:sz w:val="18"/>
                <w:szCs w:val="18"/>
              </w:rPr>
              <w:lastRenderedPageBreak/>
              <w:t>údržby skríň. Medzi jednotlivými drevenými doskami musí byť medzera, pre prístup vzduchu k rozvádzačom. Pred realizáciou je nevyhnutné zamerať si existujúce skrine aj s otváraním a spracovať dielenskú dokumentáciu, a predložiť ju na schválenie objednávateľovi a vlastníkom skríň.</w:t>
            </w:r>
          </w:p>
        </w:tc>
      </w:tr>
    </w:tbl>
    <w:p w14:paraId="1CCB8A83" w14:textId="28917F25" w:rsidR="00DB63FB" w:rsidRPr="00DB63FB" w:rsidRDefault="00DB63FB" w:rsidP="00F975F1">
      <w:pPr>
        <w:spacing w:before="160" w:after="0"/>
        <w:rPr>
          <w:rFonts w:eastAsia="Times New Roman" w:cs="Times New Roman"/>
          <w:b/>
          <w:bCs/>
          <w:szCs w:val="24"/>
          <w:lang w:eastAsia="sk-SK"/>
        </w:rPr>
      </w:pPr>
      <w:bookmarkStart w:id="2" w:name="_Hlk57801711"/>
      <w:r w:rsidRPr="00DB63FB">
        <w:rPr>
          <w:rFonts w:eastAsia="Times New Roman" w:cs="Times New Roman"/>
          <w:b/>
          <w:bCs/>
          <w:szCs w:val="24"/>
          <w:lang w:eastAsia="sk-SK"/>
        </w:rPr>
        <w:lastRenderedPageBreak/>
        <w:t xml:space="preserve">SO 05 Rozšírenie verejného </w:t>
      </w:r>
      <w:r w:rsidR="00D156B6" w:rsidRPr="00DB63FB">
        <w:rPr>
          <w:rFonts w:eastAsia="Times New Roman" w:cs="Times New Roman"/>
          <w:b/>
          <w:bCs/>
          <w:szCs w:val="24"/>
          <w:lang w:eastAsia="sk-SK"/>
        </w:rPr>
        <w:t>osvetleni</w:t>
      </w:r>
      <w:r w:rsidR="00D156B6">
        <w:rPr>
          <w:rFonts w:eastAsia="Times New Roman" w:cs="Times New Roman"/>
          <w:b/>
          <w:bCs/>
          <w:szCs w:val="24"/>
          <w:lang w:eastAsia="sk-SK"/>
        </w:rPr>
        <w:t>a</w:t>
      </w:r>
      <w:r w:rsidR="00D156B6" w:rsidRPr="00DB63FB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478D9171" w14:textId="0BD1FF4B" w:rsidR="00DB63FB" w:rsidRPr="00DB63FB" w:rsidRDefault="00DB63FB" w:rsidP="00DB63FB">
      <w:pPr>
        <w:spacing w:after="0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Rozšírenie verejného osvetlenia, podľa projektovej dokumentácie, časť SO 05</w:t>
      </w:r>
      <w:r w:rsidR="00333040">
        <w:rPr>
          <w:rFonts w:eastAsia="Times New Roman" w:cs="Times New Roman"/>
          <w:szCs w:val="24"/>
          <w:lang w:eastAsia="sk-SK"/>
        </w:rPr>
        <w:t>, ktorá tvorí prílohy tejto výzvy.</w:t>
      </w:r>
    </w:p>
    <w:p w14:paraId="1D116B54" w14:textId="77777777" w:rsidR="00DB63FB" w:rsidRPr="00DB63FB" w:rsidRDefault="00DB63FB" w:rsidP="00F975F1">
      <w:pPr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Zodpovedný projektant : Ing. Juraj Nyulassy</w:t>
      </w:r>
    </w:p>
    <w:p w14:paraId="15827C77" w14:textId="77777777" w:rsidR="00DB63FB" w:rsidRPr="00DB63FB" w:rsidRDefault="00DB63FB" w:rsidP="00DB63FB">
      <w:pPr>
        <w:spacing w:after="0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 xml:space="preserve">Všetky práce budú vykonané vrátane zabezpečenia : </w:t>
      </w:r>
    </w:p>
    <w:p w14:paraId="49EDAACF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vytýčenia a zriadenia staveniska, vrátane realizácie jeho dočasného oplotenia,</w:t>
      </w:r>
    </w:p>
    <w:p w14:paraId="3DBEAF46" w14:textId="5DD712E4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vytýčenia inžinierskych sietí</w:t>
      </w:r>
      <w:r w:rsidR="00B239AA">
        <w:rPr>
          <w:rFonts w:eastAsia="Times New Roman" w:cs="Times New Roman"/>
          <w:szCs w:val="24"/>
          <w:lang w:eastAsia="sk-SK"/>
        </w:rPr>
        <w:t>,</w:t>
      </w:r>
    </w:p>
    <w:p w14:paraId="5756F5BB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určenia postupu zhotovenia jednotlivých stavebných objektov,</w:t>
      </w:r>
    </w:p>
    <w:p w14:paraId="3E1DF6F4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zásobovanie staveniska elektrickou energiou a vodou,</w:t>
      </w:r>
    </w:p>
    <w:p w14:paraId="1E97B753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odvodu odpadových vôd zo staveniska,</w:t>
      </w:r>
    </w:p>
    <w:p w14:paraId="3D60A5F9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ochrany životného prostredia, vôd, pôd, ovzdušia a zelene,</w:t>
      </w:r>
    </w:p>
    <w:p w14:paraId="3FCC0B7D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ochrany pred hlukom, prachom a vibráciami,</w:t>
      </w:r>
    </w:p>
    <w:p w14:paraId="11E17F92" w14:textId="77777777" w:rsidR="00DB63FB" w:rsidRPr="00DB63FB" w:rsidRDefault="00DB63FB" w:rsidP="00DB63FB">
      <w:pPr>
        <w:numPr>
          <w:ilvl w:val="0"/>
          <w:numId w:val="14"/>
        </w:numPr>
        <w:spacing w:after="0"/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nakladania s odpadmi,</w:t>
      </w:r>
    </w:p>
    <w:p w14:paraId="12E7D09E" w14:textId="796BB3EF" w:rsidR="00DB63FB" w:rsidRDefault="00DB63FB" w:rsidP="00F975F1">
      <w:pPr>
        <w:numPr>
          <w:ilvl w:val="0"/>
          <w:numId w:val="14"/>
        </w:numPr>
        <w:jc w:val="left"/>
        <w:rPr>
          <w:rFonts w:eastAsia="Times New Roman" w:cs="Times New Roman"/>
          <w:szCs w:val="24"/>
          <w:lang w:eastAsia="sk-SK"/>
        </w:rPr>
      </w:pPr>
      <w:r w:rsidRPr="00DB63FB">
        <w:rPr>
          <w:rFonts w:eastAsia="Times New Roman" w:cs="Times New Roman"/>
          <w:szCs w:val="24"/>
          <w:lang w:eastAsia="sk-SK"/>
        </w:rPr>
        <w:t>odstránenia dočasného zriadenia staveniska.</w:t>
      </w:r>
    </w:p>
    <w:p w14:paraId="1BB964A5" w14:textId="57BA75D4" w:rsidR="00AB6E49" w:rsidRPr="00F975F1" w:rsidRDefault="00AB6E49" w:rsidP="00AB6E49">
      <w:pPr>
        <w:rPr>
          <w:b/>
          <w:szCs w:val="24"/>
        </w:rPr>
      </w:pPr>
      <w:bookmarkStart w:id="3" w:name="_Hlk57801757"/>
      <w:bookmarkEnd w:id="2"/>
      <w:r w:rsidRPr="00F975F1">
        <w:rPr>
          <w:b/>
          <w:szCs w:val="24"/>
        </w:rPr>
        <w:t>Technická špecifikácia predmetu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AB6E49" w:rsidRPr="00305980" w14:paraId="1C95B3D1" w14:textId="77777777" w:rsidTr="00AB6E49">
        <w:tc>
          <w:tcPr>
            <w:tcW w:w="3469" w:type="dxa"/>
            <w:shd w:val="clear" w:color="auto" w:fill="C0C0C0"/>
          </w:tcPr>
          <w:p w14:paraId="45C851B9" w14:textId="77777777" w:rsidR="00AB6E49" w:rsidRPr="00305980" w:rsidRDefault="00AB6E49" w:rsidP="006C61E3">
            <w:pPr>
              <w:rPr>
                <w:b/>
                <w:sz w:val="20"/>
                <w:szCs w:val="20"/>
              </w:rPr>
            </w:pPr>
            <w:r w:rsidRPr="00305980">
              <w:rPr>
                <w:b/>
                <w:sz w:val="20"/>
                <w:szCs w:val="20"/>
              </w:rPr>
              <w:t>Technické vlastnosti</w:t>
            </w:r>
          </w:p>
        </w:tc>
        <w:tc>
          <w:tcPr>
            <w:tcW w:w="5593" w:type="dxa"/>
            <w:shd w:val="clear" w:color="auto" w:fill="C0C0C0"/>
          </w:tcPr>
          <w:p w14:paraId="30F405F7" w14:textId="77777777" w:rsidR="00AB6E49" w:rsidRPr="00305980" w:rsidRDefault="00AB6E49" w:rsidP="006C61E3">
            <w:pPr>
              <w:rPr>
                <w:b/>
                <w:sz w:val="20"/>
                <w:szCs w:val="20"/>
              </w:rPr>
            </w:pPr>
            <w:r w:rsidRPr="00305980">
              <w:rPr>
                <w:b/>
                <w:sz w:val="20"/>
                <w:szCs w:val="20"/>
              </w:rPr>
              <w:t>Hodnota / charakteristika</w:t>
            </w:r>
          </w:p>
        </w:tc>
      </w:tr>
      <w:tr w:rsidR="00AB6E49" w:rsidRPr="00305980" w14:paraId="71816DC5" w14:textId="77777777" w:rsidTr="00AB6E49">
        <w:tc>
          <w:tcPr>
            <w:tcW w:w="3469" w:type="dxa"/>
            <w:shd w:val="clear" w:color="auto" w:fill="auto"/>
          </w:tcPr>
          <w:p w14:paraId="36201FA9" w14:textId="77777777" w:rsidR="00AB6E49" w:rsidRPr="00305980" w:rsidRDefault="00AB6E49" w:rsidP="006C61E3">
            <w:pPr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Stavenisko</w:t>
            </w:r>
          </w:p>
        </w:tc>
        <w:tc>
          <w:tcPr>
            <w:tcW w:w="5593" w:type="dxa"/>
            <w:shd w:val="clear" w:color="auto" w:fill="auto"/>
          </w:tcPr>
          <w:p w14:paraId="096B5BDB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vrátane vytýčenia a zriadenia staveniska, realizácie jeho dočasného oplotenia,</w:t>
            </w:r>
          </w:p>
          <w:p w14:paraId="76AFA2A4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určenia postupu zhotovenia jednotlivých stavebných objektov,</w:t>
            </w:r>
          </w:p>
          <w:p w14:paraId="4AFF75B9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dopravného riešenia výstavby, prístupu na stavenisko, </w:t>
            </w:r>
          </w:p>
          <w:p w14:paraId="455415B2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zásobovanie staveniska elektrickou energiou a vodou,</w:t>
            </w:r>
          </w:p>
          <w:p w14:paraId="45D11F30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odvodu odpadových vôd zo staveniska,</w:t>
            </w:r>
          </w:p>
          <w:p w14:paraId="02A63FE5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ochrany životného prostredia, vôd, pôd, ovzdušia a zelene,</w:t>
            </w:r>
          </w:p>
          <w:p w14:paraId="3EEDE44C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ochrany pred hlukom, prachom a vibráciami,</w:t>
            </w:r>
          </w:p>
          <w:p w14:paraId="475C029D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nakladania s odpadmi,</w:t>
            </w:r>
          </w:p>
          <w:p w14:paraId="2FDD2B0F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odstránenia dočasného zriadenia staveniska</w:t>
            </w:r>
          </w:p>
          <w:p w14:paraId="52C9B91D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práce musí riadiť poučená osoba, ktorá bude dbať na bezpečnosť chodcov a dopravy. </w:t>
            </w:r>
          </w:p>
          <w:p w14:paraId="1FCF5F22" w14:textId="77777777" w:rsidR="00AB6E49" w:rsidRPr="00305980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Vrátane spracovania Opisu organizácie výstavby a časového harmonogramu</w:t>
            </w:r>
          </w:p>
        </w:tc>
      </w:tr>
      <w:tr w:rsidR="00AB6E49" w:rsidRPr="00305980" w14:paraId="5893591F" w14:textId="77777777" w:rsidTr="00AB6E49">
        <w:tc>
          <w:tcPr>
            <w:tcW w:w="3469" w:type="dxa"/>
            <w:shd w:val="clear" w:color="auto" w:fill="auto"/>
          </w:tcPr>
          <w:p w14:paraId="0D5D1748" w14:textId="2959B128" w:rsidR="00AB6E49" w:rsidRPr="00305980" w:rsidRDefault="00AB6E49" w:rsidP="006C61E3">
            <w:pPr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Stavebné práce</w:t>
            </w:r>
          </w:p>
        </w:tc>
        <w:tc>
          <w:tcPr>
            <w:tcW w:w="5593" w:type="dxa"/>
            <w:shd w:val="clear" w:color="auto" w:fill="auto"/>
          </w:tcPr>
          <w:p w14:paraId="4752CA3F" w14:textId="77777777" w:rsidR="00AB6E49" w:rsidRPr="00AC1E21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vrátane vytýčenia stavby </w:t>
            </w:r>
          </w:p>
          <w:p w14:paraId="4E25A95A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vrátane kompletné</w:t>
            </w:r>
            <w:r>
              <w:rPr>
                <w:sz w:val="20"/>
                <w:szCs w:val="20"/>
              </w:rPr>
              <w:t>ho</w:t>
            </w:r>
            <w:r w:rsidRPr="00305980">
              <w:rPr>
                <w:sz w:val="20"/>
                <w:szCs w:val="20"/>
              </w:rPr>
              <w:t xml:space="preserve"> materiálu na výstavbu</w:t>
            </w:r>
          </w:p>
          <w:p w14:paraId="15DED311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zhotovenia mlátového chodníka podľa technických požiadaviek hutnenia </w:t>
            </w:r>
          </w:p>
          <w:p w14:paraId="2053DFD6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zhotovenia obruby s kamenných kociek</w:t>
            </w:r>
          </w:p>
          <w:p w14:paraId="4CBED21C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osadenie mobiliáru do betónového základu</w:t>
            </w:r>
          </w:p>
          <w:p w14:paraId="4F8F4CF2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osadenie a montáž kapotáže na rozvodné skrine</w:t>
            </w:r>
          </w:p>
          <w:p w14:paraId="4787B269" w14:textId="77777777" w:rsidR="00AB6E49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osadenie verejného osvetlenia</w:t>
            </w:r>
          </w:p>
          <w:p w14:paraId="3BD43F76" w14:textId="77777777" w:rsidR="00AB6E49" w:rsidRPr="00EA77FA" w:rsidRDefault="00AB6E49" w:rsidP="00AB6E49">
            <w:pPr>
              <w:numPr>
                <w:ilvl w:val="0"/>
                <w:numId w:val="17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vrátane dopravy a montáže</w:t>
            </w:r>
          </w:p>
        </w:tc>
      </w:tr>
      <w:tr w:rsidR="00AB6E49" w:rsidRPr="00305980" w14:paraId="48909B65" w14:textId="77777777" w:rsidTr="00AB6E49">
        <w:tc>
          <w:tcPr>
            <w:tcW w:w="3469" w:type="dxa"/>
            <w:shd w:val="clear" w:color="auto" w:fill="auto"/>
          </w:tcPr>
          <w:p w14:paraId="27CEF080" w14:textId="77777777" w:rsidR="00AB6E49" w:rsidRPr="00305980" w:rsidRDefault="00AB6E49" w:rsidP="006C61E3">
            <w:pPr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Pri vykonávaní prác pri rekonštrukcii spevnených plôch je nutné dodržiavať : </w:t>
            </w:r>
          </w:p>
        </w:tc>
        <w:tc>
          <w:tcPr>
            <w:tcW w:w="5593" w:type="dxa"/>
            <w:shd w:val="clear" w:color="auto" w:fill="auto"/>
          </w:tcPr>
          <w:p w14:paraId="48ED2A1A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STN 73 3050 Zemné práce</w:t>
            </w:r>
          </w:p>
          <w:p w14:paraId="4D750BD9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STN 73 6114</w:t>
            </w:r>
            <w:r>
              <w:rPr>
                <w:sz w:val="20"/>
                <w:szCs w:val="20"/>
              </w:rPr>
              <w:t xml:space="preserve"> P</w:t>
            </w:r>
            <w:r w:rsidRPr="00305980">
              <w:rPr>
                <w:sz w:val="20"/>
                <w:szCs w:val="20"/>
              </w:rPr>
              <w:t>ozemných komunikácií</w:t>
            </w:r>
          </w:p>
          <w:p w14:paraId="1E546CF5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STN 73 6131 </w:t>
            </w:r>
          </w:p>
          <w:p w14:paraId="27E4C6C7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STN EN 1388</w:t>
            </w:r>
          </w:p>
          <w:p w14:paraId="0EAA769F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lastRenderedPageBreak/>
              <w:t>STN EN 1340</w:t>
            </w:r>
          </w:p>
          <w:p w14:paraId="3C955953" w14:textId="77777777" w:rsidR="00AB6E49" w:rsidRPr="00305980" w:rsidRDefault="00AB6E49" w:rsidP="00AB6E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Iné súvisiace právne predpisy a nariadenia</w:t>
            </w:r>
          </w:p>
        </w:tc>
      </w:tr>
      <w:tr w:rsidR="00AB6E49" w:rsidRPr="00305980" w14:paraId="12DA5582" w14:textId="77777777" w:rsidTr="00AB6E49">
        <w:tc>
          <w:tcPr>
            <w:tcW w:w="3469" w:type="dxa"/>
            <w:shd w:val="clear" w:color="auto" w:fill="auto"/>
          </w:tcPr>
          <w:p w14:paraId="6EA64E27" w14:textId="77777777" w:rsidR="00AB6E49" w:rsidRPr="00305980" w:rsidRDefault="00AB6E49" w:rsidP="006C61E3">
            <w:pPr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lastRenderedPageBreak/>
              <w:t xml:space="preserve">Pri vykonávaní činností je nutné chrániť dreviny a dodržiavať </w:t>
            </w:r>
          </w:p>
        </w:tc>
        <w:tc>
          <w:tcPr>
            <w:tcW w:w="5593" w:type="dxa"/>
            <w:shd w:val="clear" w:color="auto" w:fill="auto"/>
          </w:tcPr>
          <w:p w14:paraId="7D110D8C" w14:textId="77777777" w:rsidR="00AB6E49" w:rsidRPr="00305980" w:rsidRDefault="00AB6E49" w:rsidP="00AB6E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Všeobecne záväzné nariadenie hlavného mesta Slovenskej republiky Bratislavy č. 8/1993 o starostlivosti o verejnú zeleň na území hlavného mesta Slovenskej republiky Bratislavy.</w:t>
            </w:r>
          </w:p>
          <w:p w14:paraId="1241BCE8" w14:textId="77777777" w:rsidR="00AB6E49" w:rsidRPr="00305980" w:rsidRDefault="00AB6E49" w:rsidP="00AB6E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Zákon  č. 543/2002 Z .z. o ochrane prírody a krajiny, v znení neskorších predpisov.</w:t>
            </w:r>
          </w:p>
          <w:p w14:paraId="7EF8CC4C" w14:textId="77777777" w:rsidR="00AB6E49" w:rsidRPr="00305980" w:rsidRDefault="00AB6E49" w:rsidP="00AB6E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Vyhláška Ministerstva životného prostredia Slovenskej republiky č. 24/2003 Z. z., ktorou sa vykonáva zákon č. 543/2002 Z. z. o ochrane prírody a krajiny v znení  neskorších predpisov.</w:t>
            </w:r>
          </w:p>
          <w:p w14:paraId="29C26C68" w14:textId="77777777" w:rsidR="00AB6E49" w:rsidRPr="00305980" w:rsidRDefault="00AB6E49" w:rsidP="00AB6E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STN 83 7010 Ošetrovanie, udržiavanie a ochrana stromovej vegetácie</w:t>
            </w:r>
          </w:p>
          <w:p w14:paraId="22C5A1BB" w14:textId="77777777" w:rsidR="00AB6E49" w:rsidRPr="00305980" w:rsidRDefault="00AB6E49" w:rsidP="00AB6E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Iné súvisiace právne predpisy a nariadenia</w:t>
            </w:r>
          </w:p>
        </w:tc>
      </w:tr>
      <w:tr w:rsidR="00AB6E49" w:rsidRPr="00305980" w14:paraId="708A5E1B" w14:textId="77777777" w:rsidTr="00AB6E49">
        <w:tc>
          <w:tcPr>
            <w:tcW w:w="3469" w:type="dxa"/>
            <w:shd w:val="clear" w:color="auto" w:fill="auto"/>
          </w:tcPr>
          <w:p w14:paraId="5D0F1625" w14:textId="77777777" w:rsidR="00AB6E49" w:rsidRPr="00305980" w:rsidRDefault="00AB6E49" w:rsidP="006C61E3">
            <w:pPr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Pri nakladaní s odpadmi je nutné dodržiavať : </w:t>
            </w:r>
          </w:p>
        </w:tc>
        <w:tc>
          <w:tcPr>
            <w:tcW w:w="5593" w:type="dxa"/>
            <w:shd w:val="clear" w:color="auto" w:fill="auto"/>
          </w:tcPr>
          <w:p w14:paraId="26D172F1" w14:textId="77777777" w:rsidR="00AB6E49" w:rsidRPr="00305980" w:rsidRDefault="00AB6E49" w:rsidP="00AB6E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Všeobecne záväzné nariadenie hlavného mesta Slovenskej republiky Bratislavy č. 4/2016 z 30. júna 2016 o nakladaní s komunálnymi odpadmi a drobnými stavebnými odpadmi na území hlavného mesta Slovenskej republiky Bratislavy a o zmene a doplnení všeobecne záväzného nariadenia hlavného mesta Slovenskej republiky Bratislavy č. 13/2012 o miestnom poplatku za komunálne odpady a drobné stavebné odpady a o zmene a doplnení všeobecne záväzného nariadenia hlavného mesta Slovenskej republiky Bratislavy č. 12/2001 o nakladaní s komunálnymi odpadmi a drobnými stavebnými odpadmi na území hlavného mesta Slovenskej republiky Bratislavy v znení neskorších predpisov</w:t>
            </w:r>
          </w:p>
          <w:p w14:paraId="4C3357CC" w14:textId="77777777" w:rsidR="00AB6E49" w:rsidRPr="00305980" w:rsidRDefault="00AB6E49" w:rsidP="00AB6E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 xml:space="preserve">Zákon č. 79/2015 Z. z. o odpadoch a o zmene a doplnení niektorých zákonov v znení neskorších predpisov. </w:t>
            </w:r>
          </w:p>
          <w:p w14:paraId="68BC1B8D" w14:textId="77777777" w:rsidR="00AB6E49" w:rsidRPr="00305980" w:rsidRDefault="00AB6E49" w:rsidP="00AB6E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Vyhláška č. 371/2015 Z. z., ktorou sa vykonávajú niektoré ustanovenia zákona  č. 79/2015 Z. z. o odpadoch a o zmene a doplnení neskorších predpisov</w:t>
            </w:r>
          </w:p>
          <w:p w14:paraId="1379E663" w14:textId="77777777" w:rsidR="00AB6E49" w:rsidRPr="00305980" w:rsidRDefault="00AB6E49" w:rsidP="00AB6E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Metodické usmernenie Štátnej ochrany prírody a krajiny Slovenskej republiky, 2007</w:t>
            </w:r>
          </w:p>
          <w:p w14:paraId="46882899" w14:textId="77777777" w:rsidR="00AB6E49" w:rsidRPr="00305980" w:rsidRDefault="00AB6E49" w:rsidP="00AB6E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5980">
              <w:rPr>
                <w:sz w:val="20"/>
                <w:szCs w:val="20"/>
              </w:rPr>
              <w:t>Iné súvisiace právne predpisy a nariadenia</w:t>
            </w:r>
          </w:p>
        </w:tc>
      </w:tr>
    </w:tbl>
    <w:p w14:paraId="67101671" w14:textId="77777777" w:rsidR="00B239AA" w:rsidRDefault="00B239AA" w:rsidP="00AB6E49">
      <w:pPr>
        <w:spacing w:after="0"/>
        <w:jc w:val="left"/>
        <w:rPr>
          <w:rFonts w:eastAsia="Times New Roman" w:cs="Times New Roman"/>
          <w:b/>
          <w:szCs w:val="24"/>
          <w:lang w:eastAsia="sk-SK"/>
        </w:rPr>
      </w:pPr>
    </w:p>
    <w:p w14:paraId="4B4B1262" w14:textId="77777777" w:rsidR="00D065E7" w:rsidRDefault="00AB6E49" w:rsidP="00AB6E49">
      <w:pPr>
        <w:spacing w:after="0"/>
        <w:jc w:val="left"/>
        <w:rPr>
          <w:rFonts w:eastAsia="Times New Roman" w:cs="Times New Roman"/>
          <w:bCs/>
          <w:szCs w:val="24"/>
          <w:lang w:eastAsia="sk-SK"/>
        </w:rPr>
      </w:pPr>
      <w:bookmarkStart w:id="4" w:name="_Hlk57801776"/>
      <w:bookmarkEnd w:id="3"/>
      <w:r w:rsidRPr="00AB6E49">
        <w:rPr>
          <w:rFonts w:eastAsia="Times New Roman" w:cs="Times New Roman"/>
          <w:bCs/>
          <w:szCs w:val="24"/>
          <w:lang w:eastAsia="sk-SK"/>
        </w:rPr>
        <w:t>Ďalšie osobitné požiadavky:</w:t>
      </w:r>
    </w:p>
    <w:p w14:paraId="57519B1E" w14:textId="77777777" w:rsidR="00D065E7" w:rsidRDefault="00D065E7" w:rsidP="00AB6E49">
      <w:pPr>
        <w:spacing w:after="0"/>
        <w:jc w:val="left"/>
        <w:rPr>
          <w:rFonts w:eastAsia="Times New Roman" w:cs="Times New Roman"/>
          <w:bCs/>
          <w:szCs w:val="24"/>
          <w:lang w:eastAsia="sk-SK"/>
        </w:rPr>
      </w:pPr>
    </w:p>
    <w:p w14:paraId="6FBDA15B" w14:textId="5B3AA2D7" w:rsidR="00AB6E49" w:rsidRDefault="00D065E7" w:rsidP="00D065E7">
      <w:pPr>
        <w:spacing w:after="0"/>
        <w:rPr>
          <w:rFonts w:eastAsia="Times New Roman" w:cs="Times New Roman"/>
          <w:bCs/>
          <w:szCs w:val="24"/>
          <w:lang w:eastAsia="sk-SK"/>
        </w:rPr>
      </w:pPr>
      <w:r w:rsidRPr="00D065E7">
        <w:rPr>
          <w:rFonts w:eastAsia="Times New Roman" w:cs="Times New Roman"/>
          <w:bCs/>
          <w:szCs w:val="24"/>
          <w:lang w:eastAsia="sk-SK"/>
        </w:rPr>
        <w:t xml:space="preserve">Predmet zákazky musí byť </w:t>
      </w:r>
      <w:bookmarkStart w:id="5" w:name="_Hlk57733988"/>
      <w:r w:rsidRPr="00D065E7">
        <w:rPr>
          <w:rFonts w:eastAsia="Times New Roman" w:cs="Times New Roman"/>
          <w:bCs/>
          <w:szCs w:val="24"/>
          <w:lang w:eastAsia="sk-SK"/>
        </w:rPr>
        <w:t>realizovaný aj v súlade s podmienkami uvedenými v stavebnom povolení, ktoré bude poskytnuté úspešnému uchádzačovi po jeho vydaní príslušným stavebným úradom.</w:t>
      </w:r>
    </w:p>
    <w:bookmarkEnd w:id="4"/>
    <w:bookmarkEnd w:id="5"/>
    <w:p w14:paraId="06C64A34" w14:textId="77777777" w:rsidR="00D065E7" w:rsidRPr="00AB6E49" w:rsidRDefault="00D065E7" w:rsidP="00AB6E49">
      <w:pPr>
        <w:spacing w:after="0"/>
        <w:jc w:val="left"/>
        <w:rPr>
          <w:rFonts w:eastAsia="Times New Roman" w:cs="Times New Roman"/>
          <w:bCs/>
          <w:szCs w:val="24"/>
          <w:lang w:eastAsia="sk-SK"/>
        </w:rPr>
      </w:pP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150DB65" w14:textId="77777777" w:rsidR="005E7ADE" w:rsidRDefault="005E7ADE" w:rsidP="005E7ADE">
      <w:pPr>
        <w:spacing w:after="0"/>
      </w:pPr>
      <w:r>
        <w:t xml:space="preserve">45112711-2 Terénne úpravy parkov </w:t>
      </w:r>
    </w:p>
    <w:p w14:paraId="45FDAA7A" w14:textId="0C3D899E" w:rsidR="005E7ADE" w:rsidRDefault="005E7ADE" w:rsidP="005E7ADE">
      <w:pPr>
        <w:spacing w:after="0"/>
      </w:pPr>
      <w:r>
        <w:t>45236250-7 Stavebné práce na stavbe plôch pre parky</w:t>
      </w:r>
    </w:p>
    <w:p w14:paraId="2F81DCAB" w14:textId="2864DF80" w:rsidR="005E7ADE" w:rsidRDefault="005E7ADE" w:rsidP="005E7ADE">
      <w:pPr>
        <w:spacing w:after="0"/>
      </w:pPr>
      <w:r>
        <w:t xml:space="preserve">45316100-6 Inštalovanie vonkajších osvetľovacích zariadení  </w:t>
      </w:r>
    </w:p>
    <w:p w14:paraId="23FB5780" w14:textId="366D3F1A" w:rsidR="005E7ADE" w:rsidRDefault="005E7ADE" w:rsidP="005E7ADE">
      <w:pPr>
        <w:spacing w:after="0"/>
      </w:pPr>
      <w:r>
        <w:t xml:space="preserve">45262300-4 Betonárske práce  </w:t>
      </w:r>
    </w:p>
    <w:p w14:paraId="06F7F246" w14:textId="0D476CD9" w:rsidR="005E7ADE" w:rsidRDefault="005E7ADE" w:rsidP="005E7ADE">
      <w:pPr>
        <w:spacing w:after="0"/>
      </w:pPr>
      <w:r>
        <w:t>45420000-7 Inštalovanie stolárskych a tesárskych výrobkov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6039DC19" w14:textId="02B12C99" w:rsidR="00847334" w:rsidRDefault="005E7ADE" w:rsidP="006C387B">
      <w:r>
        <w:t>14 117,</w:t>
      </w:r>
      <w:r w:rsidR="00C469A6">
        <w:t xml:space="preserve">45 EUR ber DPH 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lastRenderedPageBreak/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3059E33C" w14:textId="6A93C069" w:rsidR="00C469A6" w:rsidRDefault="00C469A6" w:rsidP="00C469A6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>
        <w:rPr>
          <w:bCs/>
        </w:rPr>
        <w:t xml:space="preserve">zmluvy o dielo </w:t>
      </w:r>
      <w:r w:rsidRPr="00F00CAE">
        <w:rPr>
          <w:bCs/>
        </w:rPr>
        <w:t xml:space="preserve">(príloha č. </w:t>
      </w:r>
      <w:r w:rsidR="00F00CAE" w:rsidRPr="00F00CAE">
        <w:rPr>
          <w:bCs/>
        </w:rPr>
        <w:t>4</w:t>
      </w:r>
      <w:r w:rsidRPr="00F00CAE">
        <w:rPr>
          <w:bCs/>
        </w:rPr>
        <w:t xml:space="preserve"> tejto výzvy)</w:t>
      </w:r>
      <w:r w:rsidRPr="00F00CAE">
        <w:rPr>
          <w:b/>
        </w:rPr>
        <w:t xml:space="preserve"> </w:t>
      </w:r>
      <w:r w:rsidR="0047625B">
        <w:rPr>
          <w:b/>
        </w:rPr>
        <w:t xml:space="preserve">                           </w:t>
      </w:r>
      <w:r w:rsidRPr="00E76B89">
        <w:rPr>
          <w:bCs/>
        </w:rPr>
        <w:t xml:space="preserve">a podľa </w:t>
      </w:r>
      <w:r w:rsidRPr="00C469A6">
        <w:rPr>
          <w:rFonts w:cs="Times New Roman"/>
          <w:bCs/>
          <w:szCs w:val="24"/>
        </w:rPr>
        <w:t xml:space="preserve">§ 536 </w:t>
      </w:r>
      <w:r w:rsidRPr="00C469A6">
        <w:rPr>
          <w:rFonts w:cs="Times New Roman"/>
          <w:szCs w:val="24"/>
        </w:rPr>
        <w:t>a nasl. zákona č. 513/1990 Zb. Obchodný zákonník v znení neskorších predpisov</w:t>
      </w:r>
      <w:r w:rsidRPr="00C469A6">
        <w:rPr>
          <w:rFonts w:cs="Times New Roman"/>
          <w:bCs/>
          <w:szCs w:val="24"/>
        </w:rPr>
        <w:t>, pričom</w:t>
      </w:r>
      <w:r w:rsidRPr="00B11902">
        <w:rPr>
          <w:bCs/>
        </w:rPr>
        <w:t xml:space="preserve"> vystavená faktúra zo</w:t>
      </w:r>
      <w:r w:rsidRPr="009C78D1">
        <w:rPr>
          <w:bCs/>
        </w:rPr>
        <w:t xml:space="preserve"> strany </w:t>
      </w:r>
      <w:r>
        <w:rPr>
          <w:bCs/>
        </w:rPr>
        <w:t xml:space="preserve">zhotoviteľa za uskutočnené práce </w:t>
      </w:r>
      <w:r w:rsidRPr="009C78D1">
        <w:rPr>
          <w:bCs/>
        </w:rPr>
        <w:t>musí obsahovať všetky náležitosti daňového dokladu podľa zákona</w:t>
      </w:r>
      <w:r>
        <w:rPr>
          <w:bCs/>
        </w:rPr>
        <w:t xml:space="preserve"> </w:t>
      </w:r>
      <w:r w:rsidRPr="009C78D1">
        <w:rPr>
          <w:bCs/>
        </w:rPr>
        <w:t>č. 222/2004 Z. z. o dani z pridanej hodnoty v znení neskorších predpisov</w:t>
      </w:r>
      <w:r>
        <w:rPr>
          <w:bCs/>
        </w:rPr>
        <w:t>.</w:t>
      </w:r>
    </w:p>
    <w:p w14:paraId="249E4CE6" w14:textId="5DC8260A" w:rsidR="00786947" w:rsidRDefault="00C469A6" w:rsidP="006C387B">
      <w:r>
        <w:t xml:space="preserve">Zhotoviteľ </w:t>
      </w:r>
      <w:r w:rsidR="00786947" w:rsidRPr="00786947">
        <w:t xml:space="preserve">bude </w:t>
      </w:r>
      <w:r w:rsidR="00122124">
        <w:t xml:space="preserve">oprávnený </w:t>
      </w:r>
      <w:r w:rsidR="00786947" w:rsidRPr="00786947">
        <w:t>fakturovať</w:t>
      </w:r>
      <w:r w:rsidR="00786947" w:rsidRPr="00B11902">
        <w:t xml:space="preserve"> </w:t>
      </w:r>
      <w:r w:rsidR="00122124">
        <w:t>cenu</w:t>
      </w:r>
      <w:r w:rsidR="00786947" w:rsidRPr="00B11902">
        <w:t xml:space="preserve"> </w:t>
      </w:r>
      <w:r w:rsidR="00171764">
        <w:t xml:space="preserve">na základe </w:t>
      </w:r>
      <w:r w:rsidR="00122124">
        <w:t>skutočne z</w:t>
      </w:r>
      <w:r>
        <w:t xml:space="preserve">realizovaných </w:t>
      </w:r>
      <w:r w:rsidR="00FB631C">
        <w:t xml:space="preserve">a objednávateľom prevzatých </w:t>
      </w:r>
      <w:r>
        <w:t>stavebných prác.</w:t>
      </w:r>
      <w:r w:rsidR="00171764"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BD2C67" w14:paraId="3B76DF7F" w14:textId="77777777" w:rsidTr="00C469A6">
        <w:tc>
          <w:tcPr>
            <w:tcW w:w="993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8221" w:type="dxa"/>
          </w:tcPr>
          <w:p w14:paraId="5A9BEF84" w14:textId="49702E27" w:rsidR="00C469A6" w:rsidRPr="00305980" w:rsidRDefault="00C469A6" w:rsidP="00C469A6">
            <w:pPr>
              <w:tabs>
                <w:tab w:val="left" w:pos="42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Parčík Karadičova / Krížna</w:t>
            </w:r>
            <w:r w:rsidRPr="00305980">
              <w:rPr>
                <w:bCs/>
                <w:szCs w:val="24"/>
              </w:rPr>
              <w:t xml:space="preserve">, Mestská časť Bratislava – </w:t>
            </w:r>
            <w:r>
              <w:rPr>
                <w:bCs/>
                <w:szCs w:val="24"/>
              </w:rPr>
              <w:t>Staré Mesto</w:t>
            </w:r>
            <w:r w:rsidRPr="0030598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305980">
              <w:rPr>
                <w:bCs/>
                <w:szCs w:val="24"/>
              </w:rPr>
              <w:t>parc</w:t>
            </w:r>
            <w:r w:rsidR="00F00CAE">
              <w:rPr>
                <w:bCs/>
                <w:szCs w:val="24"/>
              </w:rPr>
              <w:t>ela</w:t>
            </w:r>
            <w:r w:rsidRPr="00305980">
              <w:rPr>
                <w:bCs/>
                <w:szCs w:val="24"/>
              </w:rPr>
              <w:t xml:space="preserve"> č.</w:t>
            </w:r>
            <w:bookmarkStart w:id="6" w:name="_Hlk518286239"/>
            <w:r>
              <w:rPr>
                <w:bCs/>
                <w:szCs w:val="24"/>
              </w:rPr>
              <w:t>10267</w:t>
            </w:r>
            <w:r w:rsidRPr="00305980">
              <w:rPr>
                <w:bCs/>
                <w:szCs w:val="24"/>
              </w:rPr>
              <w:t xml:space="preserve">, k.ú. </w:t>
            </w:r>
            <w:r>
              <w:rPr>
                <w:bCs/>
                <w:szCs w:val="24"/>
              </w:rPr>
              <w:t xml:space="preserve">Staré Mesto </w:t>
            </w:r>
            <w:bookmarkEnd w:id="6"/>
          </w:p>
          <w:p w14:paraId="17DAAEF6" w14:textId="5442805B" w:rsidR="00BD2C67" w:rsidRDefault="00BD2C67" w:rsidP="000239F6">
            <w:pPr>
              <w:rPr>
                <w:b/>
              </w:rPr>
            </w:pPr>
          </w:p>
        </w:tc>
      </w:tr>
      <w:tr w:rsidR="00BD2C67" w14:paraId="0BF2F088" w14:textId="77777777" w:rsidTr="00C469A6">
        <w:tc>
          <w:tcPr>
            <w:tcW w:w="993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8221" w:type="dxa"/>
          </w:tcPr>
          <w:p w14:paraId="028A3A80" w14:textId="55F70138" w:rsidR="00BD2C67" w:rsidRPr="00C469A6" w:rsidRDefault="007D683C" w:rsidP="000239F6">
            <w:pPr>
              <w:rPr>
                <w:bCs/>
              </w:rPr>
            </w:pPr>
            <w:r>
              <w:rPr>
                <w:bCs/>
              </w:rPr>
              <w:t>Úspešný uchádzač bude povinný</w:t>
            </w:r>
            <w:r w:rsidRPr="007D683C">
              <w:rPr>
                <w:bCs/>
              </w:rPr>
              <w:t xml:space="preserve"> </w:t>
            </w:r>
            <w:r>
              <w:rPr>
                <w:bCs/>
              </w:rPr>
              <w:t xml:space="preserve">zrealizovať </w:t>
            </w:r>
            <w:r w:rsidRPr="007D683C">
              <w:rPr>
                <w:bCs/>
              </w:rPr>
              <w:t>dielo v</w:t>
            </w:r>
            <w:r w:rsidR="00FE710C">
              <w:rPr>
                <w:bCs/>
              </w:rPr>
              <w:t xml:space="preserve"> ním navrhnutej </w:t>
            </w:r>
            <w:r w:rsidRPr="007D683C">
              <w:rPr>
                <w:bCs/>
              </w:rPr>
              <w:t>lehote</w:t>
            </w:r>
            <w:r w:rsidR="00FE710C">
              <w:rPr>
                <w:bCs/>
              </w:rPr>
              <w:t xml:space="preserve">, ktorá </w:t>
            </w:r>
            <w:r w:rsidR="00FE710C" w:rsidRPr="007D6F42">
              <w:rPr>
                <w:b/>
              </w:rPr>
              <w:t>nesmie byť</w:t>
            </w:r>
            <w:r w:rsidR="00FE710C">
              <w:rPr>
                <w:bCs/>
              </w:rPr>
              <w:t xml:space="preserve"> </w:t>
            </w:r>
            <w:r w:rsidR="00FE710C" w:rsidRPr="007D6F42">
              <w:rPr>
                <w:b/>
              </w:rPr>
              <w:t>kratšia ako 60 a dlhšia ako 120 kalendárnych dní</w:t>
            </w:r>
            <w:r w:rsidR="00FE710C">
              <w:rPr>
                <w:bCs/>
              </w:rPr>
              <w:t>.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4BE7E817" w:rsidR="00A02015" w:rsidRDefault="00A02015" w:rsidP="00A02015"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7" w:name="financovanie"/>
      <w:r w:rsidRPr="000B7C88">
        <w:t xml:space="preserve">Faktúra bude mať 30-dňovú lehotu splatnosti odo dňa jej doručenia. </w:t>
      </w:r>
      <w:r w:rsidRPr="00A93013">
        <w:t xml:space="preserve">Súčasťou faktúry bude súpis </w:t>
      </w:r>
      <w:r w:rsidR="00C469A6" w:rsidRPr="00A93013">
        <w:t>realizovaných prác</w:t>
      </w:r>
      <w:r w:rsidRPr="00A93013">
        <w:t xml:space="preserve">. </w:t>
      </w:r>
      <w:r w:rsidRPr="000B7C88">
        <w:t xml:space="preserve">Platba bude realizovaná bezhotovostným platobným príkazom. Neposkytuje sa preddavok ani zálohová platba. </w:t>
      </w:r>
      <w:bookmarkEnd w:id="7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430702CD" w:rsidR="001949A3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C469A6">
        <w:t>uskutočňovať stavebné práce</w:t>
      </w:r>
      <w:r w:rsidR="008C2E39">
        <w:t>.</w:t>
      </w:r>
    </w:p>
    <w:p w14:paraId="51D8FF83" w14:textId="1D0C8D2B" w:rsidR="001949A3" w:rsidRDefault="001949A3" w:rsidP="00695DA6">
      <w:pPr>
        <w:pStyle w:val="Odsekzoznamu"/>
        <w:numPr>
          <w:ilvl w:val="0"/>
          <w:numId w:val="3"/>
        </w:numPr>
        <w:ind w:left="426" w:hanging="426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059063CC" w14:textId="66793495" w:rsidR="007A40B0" w:rsidRDefault="007A40B0" w:rsidP="007A40B0">
      <w:r>
        <w:t>a</w:t>
      </w:r>
      <w:r w:rsidRPr="007A40B0">
        <w:t xml:space="preserve"> technickej alebo odbornej spôsobilosti:</w:t>
      </w:r>
    </w:p>
    <w:p w14:paraId="7EAFE1C3" w14:textId="21EA0BAD" w:rsidR="007A40B0" w:rsidRPr="007A40B0" w:rsidRDefault="007A40B0" w:rsidP="007D6F42">
      <w:pPr>
        <w:pStyle w:val="Odsekzoznamu"/>
        <w:numPr>
          <w:ilvl w:val="0"/>
          <w:numId w:val="3"/>
        </w:numPr>
        <w:ind w:left="426" w:hanging="426"/>
      </w:pPr>
      <w:r w:rsidRPr="007A40B0">
        <w:t>podľa § 34 ods.1 písm. g) ZVO</w:t>
      </w:r>
      <w:r w:rsidR="00B969AE">
        <w:t xml:space="preserve"> </w:t>
      </w:r>
      <w:r w:rsidRPr="007A40B0">
        <w:t xml:space="preserve">doklad o odbornej spôsobilosti na vybrané činnosti vo výstavbe v zmysle zákona č. 138/1992 Zb. o autorizovaných architektoch a stavebných inžinieroch v znení neskorších </w:t>
      </w:r>
      <w:r w:rsidR="00B969AE" w:rsidRPr="007A40B0">
        <w:t>predpisov</w:t>
      </w:r>
      <w:r w:rsidR="00B969AE">
        <w:t xml:space="preserve">, </w:t>
      </w:r>
      <w:r w:rsidRPr="007A40B0">
        <w:t>a to osvedčenie vydané Slovenskou komorou stavebných inžinierov (SKSI) pre výkon činnosti stavbyvedúci s odborným zameraním 10- Pozemné stavby, resp. rovnocenný doklad o odbornej spôsobilosti osôb podľa predpisov členského štátu ich pôvodu.</w:t>
      </w:r>
    </w:p>
    <w:p w14:paraId="62C150A0" w14:textId="64345069" w:rsidR="00043C3D" w:rsidRDefault="00043C3D" w:rsidP="001764DB"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>prílohy č. 1 tejto výzvy.</w:t>
      </w:r>
    </w:p>
    <w:p w14:paraId="0A0F5D43" w14:textId="0A70A72A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8" w:name="_Hlk34226198"/>
      <w:r>
        <w:lastRenderedPageBreak/>
        <w:t>Komunikácia a</w:t>
      </w:r>
      <w:r w:rsidR="00F975F1">
        <w:t> </w:t>
      </w:r>
      <w:r>
        <w:t>vysvetľovania</w:t>
      </w:r>
      <w:bookmarkEnd w:id="8"/>
    </w:p>
    <w:p w14:paraId="71A6F3D1" w14:textId="77777777" w:rsidR="00F975F1" w:rsidRPr="00136585" w:rsidRDefault="00F975F1" w:rsidP="00F975F1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2CE49DED" w14:textId="77777777" w:rsidR="00F975F1" w:rsidRDefault="00F975F1" w:rsidP="00F975F1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14" w:history="1">
        <w:r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>
        <w:rPr>
          <w:color w:val="000000"/>
          <w:szCs w:val="24"/>
          <w:lang w:eastAsia="sk-SK"/>
        </w:rPr>
        <w:t>,</w:t>
      </w:r>
      <w:r w:rsidRPr="00184E48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vrátane</w:t>
      </w:r>
      <w:r w:rsidRPr="00184E48">
        <w:rPr>
          <w:color w:val="000000"/>
          <w:szCs w:val="24"/>
          <w:lang w:eastAsia="sk-SK"/>
        </w:rPr>
        <w:t xml:space="preserve"> opis</w:t>
      </w:r>
      <w:r>
        <w:rPr>
          <w:color w:val="000000"/>
          <w:szCs w:val="24"/>
          <w:lang w:eastAsia="sk-SK"/>
        </w:rPr>
        <w:t>u</w:t>
      </w:r>
      <w:r w:rsidRPr="00184E48">
        <w:rPr>
          <w:color w:val="000000"/>
          <w:szCs w:val="24"/>
          <w:lang w:eastAsia="sk-SK"/>
        </w:rPr>
        <w:t xml:space="preserve"> základných obrazoviek systému</w:t>
      </w:r>
      <w:r>
        <w:rPr>
          <w:color w:val="000000"/>
          <w:szCs w:val="24"/>
          <w:lang w:eastAsia="sk-SK"/>
        </w:rPr>
        <w:t xml:space="preserve">. </w:t>
      </w:r>
    </w:p>
    <w:p w14:paraId="598B5075" w14:textId="77777777" w:rsidR="00F975F1" w:rsidRPr="00184E48" w:rsidRDefault="00F975F1" w:rsidP="00F975F1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5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509A7DA8" w14:textId="77777777" w:rsidR="00F975F1" w:rsidRPr="00184E48" w:rsidRDefault="00F975F1" w:rsidP="00F975F1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51D3781D" w14:textId="01388880" w:rsidR="00F975F1" w:rsidRDefault="009C0912" w:rsidP="00F975F1">
      <w:pPr>
        <w:rPr>
          <w:color w:val="000000"/>
          <w:szCs w:val="24"/>
          <w:lang w:eastAsia="sk-SK"/>
        </w:rPr>
      </w:pPr>
      <w:hyperlink r:id="rId16" w:history="1">
        <w:r w:rsidR="00C81956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C81956">
        <w:rPr>
          <w:rStyle w:val="Hypertextovprepojenie"/>
          <w:szCs w:val="24"/>
          <w:lang w:eastAsia="sk-SK"/>
        </w:rPr>
        <w:t xml:space="preserve"> </w:t>
      </w:r>
      <w:r w:rsidR="00F975F1" w:rsidRPr="00657A13">
        <w:rPr>
          <w:color w:val="000000"/>
          <w:szCs w:val="24"/>
          <w:lang w:eastAsia="sk-SK"/>
        </w:rPr>
        <w:t xml:space="preserve">rýchlo a jednoducho prevedie </w:t>
      </w:r>
      <w:r w:rsidR="00F975F1">
        <w:rPr>
          <w:color w:val="000000"/>
          <w:szCs w:val="24"/>
          <w:lang w:eastAsia="sk-SK"/>
        </w:rPr>
        <w:t xml:space="preserve">uchádzača </w:t>
      </w:r>
      <w:r w:rsidR="00F975F1" w:rsidRPr="00657A13">
        <w:rPr>
          <w:color w:val="000000"/>
          <w:szCs w:val="24"/>
          <w:lang w:eastAsia="sk-SK"/>
        </w:rPr>
        <w:t>procesom prihlásenia, posielania správ a</w:t>
      </w:r>
      <w:r w:rsidR="00F975F1">
        <w:rPr>
          <w:color w:val="000000"/>
          <w:szCs w:val="24"/>
          <w:lang w:eastAsia="sk-SK"/>
        </w:rPr>
        <w:t> </w:t>
      </w:r>
      <w:r w:rsidR="00F975F1" w:rsidRPr="00657A13">
        <w:rPr>
          <w:color w:val="000000"/>
          <w:szCs w:val="24"/>
          <w:lang w:eastAsia="sk-SK"/>
        </w:rPr>
        <w:t>predkladaním ponúk v</w:t>
      </w:r>
      <w:r w:rsidR="00F975F1">
        <w:rPr>
          <w:color w:val="000000"/>
          <w:szCs w:val="24"/>
          <w:lang w:eastAsia="sk-SK"/>
        </w:rPr>
        <w:t> </w:t>
      </w:r>
      <w:r w:rsidR="00F975F1" w:rsidRPr="00657A13">
        <w:rPr>
          <w:color w:val="000000"/>
          <w:szCs w:val="24"/>
          <w:lang w:eastAsia="sk-SK"/>
        </w:rPr>
        <w:t>systéme JOSEPHINE. Pre lepší prehľad u</w:t>
      </w:r>
      <w:r w:rsidR="00F975F1">
        <w:rPr>
          <w:color w:val="000000"/>
          <w:szCs w:val="24"/>
          <w:lang w:eastAsia="sk-SK"/>
        </w:rPr>
        <w:t>chádzač</w:t>
      </w:r>
      <w:r w:rsidR="00F975F1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F975F1">
        <w:rPr>
          <w:color w:val="000000"/>
          <w:szCs w:val="24"/>
          <w:lang w:eastAsia="sk-SK"/>
        </w:rPr>
        <w:t xml:space="preserve">V prípade </w:t>
      </w:r>
      <w:r w:rsidR="00F975F1" w:rsidRPr="00657A13">
        <w:rPr>
          <w:color w:val="000000"/>
          <w:szCs w:val="24"/>
          <w:lang w:eastAsia="sk-SK"/>
        </w:rPr>
        <w:t>potreb</w:t>
      </w:r>
      <w:r w:rsidR="00F975F1">
        <w:rPr>
          <w:color w:val="000000"/>
          <w:szCs w:val="24"/>
          <w:lang w:eastAsia="sk-SK"/>
        </w:rPr>
        <w:t>y</w:t>
      </w:r>
      <w:r w:rsidR="00F975F1" w:rsidRPr="00657A13">
        <w:rPr>
          <w:color w:val="000000"/>
          <w:szCs w:val="24"/>
          <w:lang w:eastAsia="sk-SK"/>
        </w:rPr>
        <w:t xml:space="preserve"> </w:t>
      </w:r>
      <w:r w:rsidR="00F975F1">
        <w:rPr>
          <w:color w:val="000000"/>
          <w:szCs w:val="24"/>
          <w:lang w:eastAsia="sk-SK"/>
        </w:rPr>
        <w:t>j</w:t>
      </w:r>
      <w:r w:rsidR="00F975F1" w:rsidRPr="00657A13">
        <w:rPr>
          <w:color w:val="000000"/>
          <w:szCs w:val="24"/>
          <w:lang w:eastAsia="sk-SK"/>
        </w:rPr>
        <w:t>e</w:t>
      </w:r>
      <w:r w:rsidR="00F975F1">
        <w:rPr>
          <w:color w:val="000000"/>
          <w:szCs w:val="24"/>
          <w:lang w:eastAsia="sk-SK"/>
        </w:rPr>
        <w:t xml:space="preserve"> </w:t>
      </w:r>
      <w:r w:rsidR="00F975F1" w:rsidRPr="00657A13">
        <w:rPr>
          <w:color w:val="000000"/>
          <w:szCs w:val="24"/>
          <w:lang w:eastAsia="sk-SK"/>
        </w:rPr>
        <w:t>m</w:t>
      </w:r>
      <w:r w:rsidR="00F975F1">
        <w:rPr>
          <w:color w:val="000000"/>
          <w:szCs w:val="24"/>
          <w:lang w:eastAsia="sk-SK"/>
        </w:rPr>
        <w:t xml:space="preserve">ožné </w:t>
      </w:r>
      <w:r w:rsidR="00F975F1" w:rsidRPr="00657A13">
        <w:rPr>
          <w:color w:val="000000"/>
          <w:szCs w:val="24"/>
          <w:lang w:eastAsia="sk-SK"/>
        </w:rPr>
        <w:t>kontaktovať linku podpory Houston PROEBIZ.</w:t>
      </w:r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5A8CBCA4" w:rsidR="00BD2C67" w:rsidRDefault="00F148A2" w:rsidP="000239F6">
            <w:pPr>
              <w:rPr>
                <w:b/>
              </w:rPr>
            </w:pPr>
            <w:r w:rsidRPr="00F148A2">
              <w:t>14</w:t>
            </w:r>
            <w:r w:rsidR="00BD2C67" w:rsidRPr="00F148A2">
              <w:t xml:space="preserve">. </w:t>
            </w:r>
            <w:r w:rsidR="007A40B0" w:rsidRPr="00F148A2">
              <w:t>1</w:t>
            </w:r>
            <w:r w:rsidRPr="00F148A2">
              <w:t>2</w:t>
            </w:r>
            <w:r w:rsidR="00BD2C67" w:rsidRPr="00F148A2">
              <w:t>. 2020 do 1</w:t>
            </w:r>
            <w:r w:rsidRPr="00F148A2">
              <w:t>4</w:t>
            </w:r>
            <w:r w:rsidR="00BD2C67" w:rsidRPr="00F148A2">
              <w:t>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4BF3A51F" w:rsidR="00BD2C67" w:rsidRDefault="00BD2C67" w:rsidP="000239F6">
            <w:r>
              <w:t>Prostredníctvom IS Josephine</w:t>
            </w:r>
            <w:r w:rsidR="00B309FE">
              <w:t xml:space="preserve"> na nasledovnej adrese zákazky: </w:t>
            </w:r>
          </w:p>
          <w:p w14:paraId="183E1ACD" w14:textId="77777777" w:rsidR="00BF7FAD" w:rsidRDefault="00BF7FAD" w:rsidP="000239F6"/>
          <w:p w14:paraId="5D126160" w14:textId="1CEA617A" w:rsidR="00BF7FAD" w:rsidRDefault="009C0912" w:rsidP="000239F6">
            <w:hyperlink r:id="rId17" w:history="1">
              <w:r w:rsidR="00774F26" w:rsidRPr="00B129DC">
                <w:rPr>
                  <w:rStyle w:val="Hypertextovprepojenie"/>
                </w:rPr>
                <w:t>https://josephine.proebiz.com/sk/tender/9810/summary</w:t>
              </w:r>
            </w:hyperlink>
            <w:r w:rsidR="00BF7FAD">
              <w:t xml:space="preserve"> </w:t>
            </w:r>
          </w:p>
          <w:p w14:paraId="43678CBD" w14:textId="17419B38" w:rsidR="00B309FE" w:rsidRDefault="00B309FE" w:rsidP="000239F6">
            <w:pPr>
              <w:rPr>
                <w:b/>
              </w:rPr>
            </w:pP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28562BA1" w:rsidR="00BD2C67" w:rsidRPr="000239F6" w:rsidRDefault="00BD2C67" w:rsidP="000239F6">
            <w:r w:rsidRPr="004211A9">
              <w:t>Riadne vyplnená a podpísan</w:t>
            </w:r>
            <w:r w:rsidR="00F00CAE">
              <w:t>á</w:t>
            </w:r>
            <w:r w:rsidRPr="004211A9">
              <w:t xml:space="preserve"> príloh</w:t>
            </w:r>
            <w:r w:rsidR="00F00CAE">
              <w:t>a</w:t>
            </w:r>
            <w:r w:rsidRPr="004211A9">
              <w:t xml:space="preserve"> č. 1</w:t>
            </w:r>
            <w:r w:rsidR="007A40B0">
              <w:t xml:space="preserve">, príloha č. 2 a príloha č.3 </w:t>
            </w:r>
            <w:r w:rsidR="00F00CAE">
              <w:t xml:space="preserve">tejto </w:t>
            </w:r>
            <w:r w:rsidR="007A40B0">
              <w:t>výzvy.</w:t>
            </w:r>
            <w:r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0CB049AD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769400AE" w14:textId="77777777" w:rsidR="00C815CB" w:rsidRDefault="00C815CB" w:rsidP="00C81956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Kritériom na vyhodnotenie ponúk je </w:t>
      </w:r>
      <w:r>
        <w:rPr>
          <w:b/>
          <w:bCs/>
          <w:sz w:val="23"/>
          <w:szCs w:val="23"/>
        </w:rPr>
        <w:t>najlepší pomer ceny a kvality</w:t>
      </w:r>
      <w:r>
        <w:rPr>
          <w:sz w:val="23"/>
          <w:szCs w:val="23"/>
        </w:rPr>
        <w:t xml:space="preserve">. </w:t>
      </w:r>
    </w:p>
    <w:p w14:paraId="26EB01F5" w14:textId="77777777" w:rsidR="00C815CB" w:rsidRDefault="00C815CB" w:rsidP="00C81956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Verejný obstarávateľ stanovil nasledovné kritériá: </w:t>
      </w:r>
    </w:p>
    <w:p w14:paraId="20B6D977" w14:textId="480FF925" w:rsidR="00C815CB" w:rsidRDefault="00C815CB" w:rsidP="00C81956">
      <w:pPr>
        <w:pStyle w:val="Default"/>
        <w:spacing w:after="160"/>
        <w:rPr>
          <w:sz w:val="23"/>
          <w:szCs w:val="23"/>
        </w:rPr>
      </w:pPr>
      <w:r w:rsidRPr="0012451C">
        <w:rPr>
          <w:b/>
          <w:bCs/>
          <w:sz w:val="23"/>
          <w:szCs w:val="23"/>
        </w:rPr>
        <w:t>A</w:t>
      </w:r>
      <w:r w:rsidR="002619BD" w:rsidRPr="0012451C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 Cena za dielo – váha </w:t>
      </w:r>
      <w:r w:rsidR="00C81956">
        <w:rPr>
          <w:sz w:val="23"/>
          <w:szCs w:val="23"/>
        </w:rPr>
        <w:t>90</w:t>
      </w:r>
      <w:r>
        <w:rPr>
          <w:sz w:val="23"/>
          <w:szCs w:val="23"/>
        </w:rPr>
        <w:t xml:space="preserve"> % </w:t>
      </w:r>
    </w:p>
    <w:p w14:paraId="21C16C52" w14:textId="692350CC" w:rsidR="00C815CB" w:rsidRDefault="00C815CB" w:rsidP="00C81956">
      <w:pPr>
        <w:pStyle w:val="Default"/>
        <w:spacing w:after="160"/>
        <w:rPr>
          <w:sz w:val="23"/>
          <w:szCs w:val="23"/>
        </w:rPr>
      </w:pPr>
      <w:r w:rsidRPr="0012451C">
        <w:rPr>
          <w:b/>
          <w:bCs/>
          <w:sz w:val="23"/>
          <w:szCs w:val="23"/>
        </w:rPr>
        <w:t>B</w:t>
      </w:r>
      <w:r w:rsidR="002619BD" w:rsidRPr="0012451C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 Lehota realizácie diela </w:t>
      </w:r>
      <w:r w:rsidR="00EC099F">
        <w:rPr>
          <w:sz w:val="22"/>
          <w:szCs w:val="22"/>
        </w:rPr>
        <w:t xml:space="preserve">vyjadrená v celých kalendárnych dňoch odo dňa odovzdania staveniska zhotoviteľovi </w:t>
      </w:r>
      <w:r>
        <w:rPr>
          <w:sz w:val="23"/>
          <w:szCs w:val="23"/>
        </w:rPr>
        <w:t xml:space="preserve">– váha </w:t>
      </w:r>
      <w:r w:rsidR="00C81956">
        <w:rPr>
          <w:sz w:val="23"/>
          <w:szCs w:val="23"/>
        </w:rPr>
        <w:t>10</w:t>
      </w:r>
      <w:r>
        <w:rPr>
          <w:sz w:val="23"/>
          <w:szCs w:val="23"/>
        </w:rPr>
        <w:t xml:space="preserve"> % </w:t>
      </w:r>
    </w:p>
    <w:p w14:paraId="5672F955" w14:textId="2D1F61BB" w:rsidR="002619BD" w:rsidRDefault="002619BD" w:rsidP="003A2A88">
      <w:pPr>
        <w:rPr>
          <w:sz w:val="22"/>
        </w:rPr>
      </w:pPr>
      <w:r w:rsidRPr="00EC099F">
        <w:rPr>
          <w:b/>
          <w:bCs/>
          <w:sz w:val="22"/>
        </w:rPr>
        <w:t>V kritériu A</w:t>
      </w:r>
      <w:r>
        <w:rPr>
          <w:sz w:val="22"/>
        </w:rPr>
        <w:t xml:space="preserve"> sa bude hodnotiť cena v eurách vrátane DPH za celý predmet zákazky určená a vyjadrená v súlade </w:t>
      </w:r>
      <w:r w:rsidR="00130EF4">
        <w:rPr>
          <w:sz w:val="22"/>
        </w:rPr>
        <w:t>s podmienkami uvedenými v tejto výzve</w:t>
      </w:r>
      <w:r>
        <w:rPr>
          <w:i/>
          <w:iCs/>
          <w:sz w:val="22"/>
        </w:rPr>
        <w:t xml:space="preserve">. </w:t>
      </w:r>
      <w:r>
        <w:rPr>
          <w:sz w:val="22"/>
        </w:rPr>
        <w:t>Maximálny počet bodov,</w:t>
      </w:r>
      <w:r w:rsidR="00130EF4">
        <w:rPr>
          <w:sz w:val="22"/>
        </w:rPr>
        <w:t xml:space="preserve"> </w:t>
      </w:r>
      <w:r>
        <w:rPr>
          <w:sz w:val="22"/>
        </w:rPr>
        <w:t>t.</w:t>
      </w:r>
      <w:r w:rsidR="00291A73">
        <w:rPr>
          <w:sz w:val="22"/>
        </w:rPr>
        <w:t xml:space="preserve"> </w:t>
      </w:r>
      <w:r>
        <w:rPr>
          <w:sz w:val="22"/>
        </w:rPr>
        <w:t xml:space="preserve">j. </w:t>
      </w:r>
      <w:r w:rsidR="00ED68D7">
        <w:rPr>
          <w:sz w:val="22"/>
        </w:rPr>
        <w:t>90</w:t>
      </w:r>
      <w:r>
        <w:rPr>
          <w:sz w:val="22"/>
        </w:rPr>
        <w:t xml:space="preserve"> bodov,  bude pridelený ponuke s najnižšou navrhnutou cenou. Ostatným ponukám bude pridelený počet bodov úmerou, na základe podielu najnižšej navrhnutej ceny a navrhnutej ceny </w:t>
      </w:r>
      <w:r w:rsidR="001E2395">
        <w:rPr>
          <w:sz w:val="22"/>
        </w:rPr>
        <w:t xml:space="preserve">príslušnej </w:t>
      </w:r>
      <w:r>
        <w:rPr>
          <w:sz w:val="22"/>
        </w:rPr>
        <w:t>hodnotenej ponuky, vynásobeného maximálnym počtom bodov za kritérium, t.</w:t>
      </w:r>
      <w:r w:rsidR="00291A73">
        <w:rPr>
          <w:sz w:val="22"/>
        </w:rPr>
        <w:t xml:space="preserve"> </w:t>
      </w:r>
      <w:r>
        <w:rPr>
          <w:sz w:val="22"/>
        </w:rPr>
        <w:t xml:space="preserve">j. </w:t>
      </w:r>
      <w:r w:rsidR="00ED68D7">
        <w:rPr>
          <w:sz w:val="22"/>
        </w:rPr>
        <w:t>90</w:t>
      </w:r>
      <w:r>
        <w:rPr>
          <w:sz w:val="22"/>
        </w:rPr>
        <w:t xml:space="preserve">. </w:t>
      </w:r>
    </w:p>
    <w:p w14:paraId="7B645F5D" w14:textId="5560F233" w:rsidR="002619BD" w:rsidRDefault="002619BD" w:rsidP="003A2A88">
      <w:pPr>
        <w:rPr>
          <w:sz w:val="22"/>
        </w:rPr>
      </w:pPr>
      <w:r>
        <w:rPr>
          <w:sz w:val="22"/>
        </w:rPr>
        <w:t xml:space="preserve">Výkaz výmer </w:t>
      </w:r>
      <w:r w:rsidR="004D2DE3">
        <w:rPr>
          <w:sz w:val="22"/>
        </w:rPr>
        <w:t xml:space="preserve">predstavujúci </w:t>
      </w:r>
      <w:r>
        <w:rPr>
          <w:sz w:val="22"/>
        </w:rPr>
        <w:t>príloh</w:t>
      </w:r>
      <w:r w:rsidR="004D2DE3">
        <w:rPr>
          <w:sz w:val="22"/>
        </w:rPr>
        <w:t>u</w:t>
      </w:r>
      <w:r>
        <w:rPr>
          <w:sz w:val="22"/>
        </w:rPr>
        <w:t xml:space="preserve"> č. </w:t>
      </w:r>
      <w:r w:rsidR="000C4B50">
        <w:rPr>
          <w:sz w:val="22"/>
        </w:rPr>
        <w:t>2</w:t>
      </w:r>
      <w:r>
        <w:rPr>
          <w:sz w:val="22"/>
        </w:rPr>
        <w:t xml:space="preserve"> a</w:t>
      </w:r>
      <w:r w:rsidR="000C4B50">
        <w:rPr>
          <w:sz w:val="22"/>
        </w:rPr>
        <w:t> príloh</w:t>
      </w:r>
      <w:r w:rsidR="004D2DE3">
        <w:rPr>
          <w:sz w:val="22"/>
        </w:rPr>
        <w:t>u</w:t>
      </w:r>
      <w:r w:rsidR="000C4B50">
        <w:rPr>
          <w:sz w:val="22"/>
        </w:rPr>
        <w:t xml:space="preserve"> č. 3</w:t>
      </w:r>
      <w:r w:rsidR="004D2DE3">
        <w:rPr>
          <w:sz w:val="22"/>
        </w:rPr>
        <w:t xml:space="preserve"> </w:t>
      </w:r>
      <w:r>
        <w:rPr>
          <w:sz w:val="22"/>
        </w:rPr>
        <w:t>je povinný uchádzač predložiť vyplnené</w:t>
      </w:r>
      <w:r w:rsidR="003A2A88">
        <w:rPr>
          <w:sz w:val="22"/>
        </w:rPr>
        <w:t xml:space="preserve"> </w:t>
      </w:r>
      <w:r>
        <w:rPr>
          <w:sz w:val="22"/>
        </w:rPr>
        <w:t>na základe kalkulácie jednotlivých, v</w:t>
      </w:r>
      <w:r w:rsidR="004D2DE3">
        <w:rPr>
          <w:sz w:val="22"/>
        </w:rPr>
        <w:t> </w:t>
      </w:r>
      <w:r>
        <w:rPr>
          <w:sz w:val="22"/>
        </w:rPr>
        <w:t>n</w:t>
      </w:r>
      <w:r w:rsidR="004D2DE3">
        <w:rPr>
          <w:sz w:val="22"/>
        </w:rPr>
        <w:t xml:space="preserve">ich </w:t>
      </w:r>
      <w:r>
        <w:rPr>
          <w:sz w:val="22"/>
        </w:rPr>
        <w:t xml:space="preserve">uvedených položiek, pričom táto kalkulácia musí byť </w:t>
      </w:r>
      <w:r>
        <w:rPr>
          <w:sz w:val="22"/>
        </w:rPr>
        <w:lastRenderedPageBreak/>
        <w:t>uskutočnená podľa požiadaviek a podmienok určených verejným obstarávateľom v tejto výzve a musí byť v súlade so všetkými ostatnými informáciami a údajmi uvedenými uchádzačom v jeho ponuke.</w:t>
      </w:r>
    </w:p>
    <w:p w14:paraId="4AC2CBCE" w14:textId="55129201" w:rsidR="00EC099F" w:rsidRDefault="002619BD" w:rsidP="003A2A88">
      <w:pPr>
        <w:rPr>
          <w:noProof/>
        </w:rPr>
      </w:pPr>
      <w:r w:rsidRPr="00EC099F">
        <w:rPr>
          <w:b/>
          <w:bCs/>
          <w:noProof/>
        </w:rPr>
        <w:t>V kritériu B</w:t>
      </w:r>
      <w:r w:rsidRPr="002619BD">
        <w:rPr>
          <w:noProof/>
        </w:rPr>
        <w:t xml:space="preserve"> sa bude hodnotiť lehota </w:t>
      </w:r>
      <w:r w:rsidR="00EC099F">
        <w:rPr>
          <w:noProof/>
        </w:rPr>
        <w:t>realizácie diela</w:t>
      </w:r>
      <w:r w:rsidRPr="002619BD">
        <w:rPr>
          <w:noProof/>
        </w:rPr>
        <w:t xml:space="preserve"> vyjadrená v celých kalendárnych dňoch</w:t>
      </w:r>
      <w:r w:rsidR="00EC099F">
        <w:rPr>
          <w:noProof/>
        </w:rPr>
        <w:t xml:space="preserve"> odo dňa odovzdania staveniska zhotoviteľovi</w:t>
      </w:r>
      <w:r w:rsidR="0061604D">
        <w:rPr>
          <w:noProof/>
        </w:rPr>
        <w:t>.</w:t>
      </w:r>
      <w:r w:rsidRPr="002619BD">
        <w:rPr>
          <w:noProof/>
        </w:rPr>
        <w:t xml:space="preserve"> </w:t>
      </w:r>
    </w:p>
    <w:p w14:paraId="7ECE11CE" w14:textId="5A6ABA0A" w:rsidR="00C815CB" w:rsidRDefault="00EC099F" w:rsidP="003A2A88">
      <w:pPr>
        <w:rPr>
          <w:noProof/>
        </w:rPr>
      </w:pPr>
      <w:r>
        <w:rPr>
          <w:noProof/>
        </w:rPr>
        <w:t xml:space="preserve">Maximálna lehota realizácie diela </w:t>
      </w:r>
      <w:r w:rsidR="00BC1C6F">
        <w:rPr>
          <w:noProof/>
        </w:rPr>
        <w:t xml:space="preserve">určená verejným obstarávateľom </w:t>
      </w:r>
      <w:r>
        <w:rPr>
          <w:noProof/>
        </w:rPr>
        <w:t xml:space="preserve">je </w:t>
      </w:r>
      <w:r w:rsidR="0061604D">
        <w:rPr>
          <w:noProof/>
        </w:rPr>
        <w:t>120</w:t>
      </w:r>
      <w:r>
        <w:rPr>
          <w:noProof/>
        </w:rPr>
        <w:t xml:space="preserve"> kalendárnych dní</w:t>
      </w:r>
      <w:r w:rsidR="00BC1C6F">
        <w:rPr>
          <w:noProof/>
        </w:rPr>
        <w:t xml:space="preserve"> odo dňa odovzdania staveniska </w:t>
      </w:r>
      <w:r w:rsidR="00ED68D7">
        <w:rPr>
          <w:noProof/>
        </w:rPr>
        <w:t>zhotoviteľovi</w:t>
      </w:r>
      <w:r>
        <w:rPr>
          <w:noProof/>
        </w:rPr>
        <w:t>.</w:t>
      </w:r>
      <w:r w:rsidR="00B969AE">
        <w:rPr>
          <w:noProof/>
        </w:rPr>
        <w:t xml:space="preserve"> </w:t>
      </w:r>
      <w:r w:rsidR="0061604D">
        <w:rPr>
          <w:noProof/>
        </w:rPr>
        <w:t xml:space="preserve">Minimálna lehota realizácie diela určená verejným obstarávateľom je 60 kalendárnych dní odo dňa </w:t>
      </w:r>
      <w:r w:rsidR="00FD194E">
        <w:rPr>
          <w:noProof/>
        </w:rPr>
        <w:t xml:space="preserve">odovzdania staveniska </w:t>
      </w:r>
      <w:r w:rsidR="00ED68D7">
        <w:rPr>
          <w:noProof/>
        </w:rPr>
        <w:t>zhotoviteľovi</w:t>
      </w:r>
      <w:r w:rsidR="00FD194E">
        <w:rPr>
          <w:noProof/>
        </w:rPr>
        <w:t>.</w:t>
      </w:r>
    </w:p>
    <w:p w14:paraId="08CA14F7" w14:textId="6605A39B" w:rsidR="00FD194E" w:rsidRDefault="00FD194E" w:rsidP="00FD194E">
      <w:pPr>
        <w:rPr>
          <w:noProof/>
        </w:rPr>
      </w:pPr>
      <w:r>
        <w:rPr>
          <w:noProof/>
        </w:rPr>
        <w:t xml:space="preserve">Body v tomto kritériu sa budú prideľovať na základe lineárneho nezávislého vzorca:                    </w:t>
      </w:r>
    </w:p>
    <w:p w14:paraId="3B8E74F4" w14:textId="27AA4EAA" w:rsidR="00ED68D7" w:rsidRPr="00ED68D7" w:rsidRDefault="00FD194E" w:rsidP="00ED68D7">
      <w:pPr>
        <w:pStyle w:val="Bezriadkovania"/>
        <w:rPr>
          <w:u w:val="single"/>
        </w:rPr>
      </w:pPr>
      <w:r>
        <w:t>počet bodov</w:t>
      </w:r>
      <w:r w:rsidR="00B969AE">
        <w:t xml:space="preserve"> </w:t>
      </w:r>
      <w:r>
        <w:t>=</w:t>
      </w:r>
      <w:r w:rsidR="00B969AE">
        <w:t xml:space="preserve"> </w:t>
      </w:r>
      <w:r>
        <w:t>10 (váha podkritéria)</w:t>
      </w:r>
      <w:r w:rsidR="00C46444" w:rsidRPr="00C46444">
        <w:rPr>
          <w:sz w:val="23"/>
          <w:szCs w:val="23"/>
        </w:rPr>
        <w:t xml:space="preserve"> </w:t>
      </w:r>
      <w:r w:rsidR="00C46444">
        <w:rPr>
          <w:rFonts w:ascii="Cambria Math" w:hAnsi="Cambria Math" w:cs="Cambria Math"/>
        </w:rPr>
        <w:t xml:space="preserve">∗    </w:t>
      </w:r>
      <w:r w:rsidR="00C46444" w:rsidRPr="00ED68D7">
        <w:rPr>
          <w:u w:val="single"/>
        </w:rPr>
        <w:t>(max.lehota  −  lehota uvedená uchádzačom)</w:t>
      </w:r>
    </w:p>
    <w:p w14:paraId="02654BF3" w14:textId="17EC50B1" w:rsidR="00FD194E" w:rsidRDefault="00C46444" w:rsidP="00C46444">
      <w:pPr>
        <w:pStyle w:val="Bezriadkovania"/>
      </w:pPr>
      <w:r>
        <w:t xml:space="preserve">                                                                                (max.lehota</w:t>
      </w:r>
      <w:r w:rsidR="00B969AE">
        <w:t xml:space="preserve"> </w:t>
      </w:r>
      <w:r>
        <w:t>−</w:t>
      </w:r>
      <w:r w:rsidR="00B969AE">
        <w:t xml:space="preserve"> </w:t>
      </w:r>
      <w:r>
        <w:t>min.lehota)</w:t>
      </w:r>
    </w:p>
    <w:p w14:paraId="6BB97C6D" w14:textId="628387F0" w:rsidR="00C46444" w:rsidRDefault="00C46444" w:rsidP="00C46444">
      <w:pPr>
        <w:pStyle w:val="Bezriadkovania"/>
      </w:pPr>
    </w:p>
    <w:p w14:paraId="6B02FDAB" w14:textId="4654FAA7" w:rsidR="00C46444" w:rsidRDefault="00C46444" w:rsidP="00C46444">
      <w:pPr>
        <w:pStyle w:val="Bezriadkovania"/>
        <w:rPr>
          <w:sz w:val="23"/>
          <w:szCs w:val="23"/>
        </w:rPr>
      </w:pPr>
      <w:r>
        <w:rPr>
          <w:sz w:val="23"/>
          <w:szCs w:val="23"/>
        </w:rPr>
        <w:t>Maximálny počet bodov, ktorý môže uchádzač v tomto kritériu získať je 10. Uchádzač, ktorý                v návrhu na plnenie kritérií uvedie, že dielo zrealizuje za 120 celých  kalendárnych dní (maximálna lehota)</w:t>
      </w:r>
      <w:r w:rsidR="00D065E7">
        <w:rPr>
          <w:sz w:val="23"/>
          <w:szCs w:val="23"/>
        </w:rPr>
        <w:t xml:space="preserve"> </w:t>
      </w:r>
      <w:r>
        <w:rPr>
          <w:sz w:val="23"/>
          <w:szCs w:val="23"/>
        </w:rPr>
        <w:t>odo dňa odovzdania staveniska, získa 0 bodov. Uchádzač, ktorý v návrhu na plnenie kritérií uvedie, že dielo zrealizuje za 60 kalendárnych dní (minimálna lehota)</w:t>
      </w:r>
      <w:r w:rsidR="00FE710C">
        <w:rPr>
          <w:sz w:val="23"/>
          <w:szCs w:val="23"/>
        </w:rPr>
        <w:t xml:space="preserve"> </w:t>
      </w:r>
      <w:r>
        <w:rPr>
          <w:sz w:val="23"/>
          <w:szCs w:val="23"/>
        </w:rPr>
        <w:t>odo dňa odovzdania staveniska, získa 1</w:t>
      </w:r>
      <w:r w:rsidR="00FE710C">
        <w:rPr>
          <w:sz w:val="23"/>
          <w:szCs w:val="23"/>
        </w:rPr>
        <w:t>0</w:t>
      </w:r>
      <w:r>
        <w:rPr>
          <w:sz w:val="23"/>
          <w:szCs w:val="23"/>
        </w:rPr>
        <w:t xml:space="preserve"> bodov.</w:t>
      </w:r>
    </w:p>
    <w:p w14:paraId="1A80D98E" w14:textId="77777777" w:rsidR="00C46444" w:rsidRPr="00ED68D7" w:rsidRDefault="00C46444" w:rsidP="00ED68D7">
      <w:pPr>
        <w:pStyle w:val="Bezriadkovania"/>
      </w:pPr>
    </w:p>
    <w:p w14:paraId="35BB2C06" w14:textId="3274E34B" w:rsidR="00757B7A" w:rsidRDefault="00314B14" w:rsidP="003A2A88">
      <w:r>
        <w:rPr>
          <w:noProof/>
        </w:rPr>
        <w:t xml:space="preserve">V prípade rovnosti </w:t>
      </w:r>
      <w:r w:rsidR="00FE710C">
        <w:rPr>
          <w:noProof/>
        </w:rPr>
        <w:t>bodového hodnotenia</w:t>
      </w:r>
      <w:r>
        <w:rPr>
          <w:noProof/>
        </w:rPr>
        <w:t xml:space="preserve"> budú vyzvaní tí uchádzači, ktorí </w:t>
      </w:r>
      <w:r w:rsidR="00FE710C">
        <w:rPr>
          <w:noProof/>
        </w:rPr>
        <w:t>majú rovnaký počet bodov,</w:t>
      </w:r>
      <w:r>
        <w:rPr>
          <w:noProof/>
        </w:rPr>
        <w:t xml:space="preserve"> aby v lehote nie kratšej ako jeden pracovný deň </w:t>
      </w:r>
      <w:r w:rsidR="00FE710C">
        <w:rPr>
          <w:noProof/>
        </w:rPr>
        <w:t xml:space="preserve">znížili svoje </w:t>
      </w:r>
      <w:r w:rsidR="0012451C">
        <w:rPr>
          <w:noProof/>
        </w:rPr>
        <w:t>c</w:t>
      </w:r>
      <w:r w:rsidR="00FE710C">
        <w:rPr>
          <w:noProof/>
        </w:rPr>
        <w:t>enové ponuky</w:t>
      </w:r>
      <w:r>
        <w:rPr>
          <w:noProof/>
        </w:rPr>
        <w:t>, prípadne potvrdili ich aktuálnu výšku. Úspešným sa stane uchádzač s najnižšou cenovou ponukou po uplynutí danej lehoty</w:t>
      </w:r>
      <w:r>
        <w:t>.</w:t>
      </w:r>
      <w:r w:rsidR="00FE710C">
        <w:t xml:space="preserve"> Verejný obstarávateľ môže uvedený postup aj opakovať.</w:t>
      </w:r>
    </w:p>
    <w:p w14:paraId="49408E62" w14:textId="77777777" w:rsidR="0012451C" w:rsidRPr="00CB6437" w:rsidRDefault="0012451C" w:rsidP="003A2A88"/>
    <w:p w14:paraId="29CE9700" w14:textId="5DF6EEC0" w:rsidR="00757B7A" w:rsidRPr="00EF37B3" w:rsidRDefault="00757B7A" w:rsidP="00EF37B3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0E2AC8DC" w14:textId="4EFF8D42" w:rsidR="00757B7A" w:rsidRPr="00CB6437" w:rsidRDefault="00757B7A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 xml:space="preserve">Verejný obstarávateľ vyzve uchádzača s najnižšou ponukovou cenou na predloženie dokladov nevyhnutných na </w:t>
      </w:r>
      <w:r w:rsidR="006E12F3" w:rsidRPr="00CB6437">
        <w:t>overenie</w:t>
      </w:r>
      <w:r w:rsidRPr="00CB6437">
        <w:t xml:space="preserve"> splnenia </w:t>
      </w:r>
      <w:r w:rsidR="004F0B1B" w:rsidRPr="00CB6437">
        <w:t xml:space="preserve">tých </w:t>
      </w:r>
      <w:r w:rsidRPr="00CB6437">
        <w:t>podmienok účasti</w:t>
      </w:r>
      <w:r w:rsidR="006E12F3" w:rsidRPr="00CB6437">
        <w:t xml:space="preserve">, </w:t>
      </w:r>
      <w:r w:rsidR="004F0B1B" w:rsidRPr="00CB6437">
        <w:t xml:space="preserve">ktoré si nevie verejný obstarávateľ overiť sám z verejne prístupných zdrojov (napr. </w:t>
      </w:r>
      <w:r w:rsidR="006E12F3" w:rsidRPr="00CB6437">
        <w:t>na predloženie originálu alebo osvedčenej kópie</w:t>
      </w:r>
      <w:r w:rsidR="007B1489" w:rsidRPr="00CB6437">
        <w:rPr>
          <w:b/>
        </w:rPr>
        <w:t xml:space="preserve"> </w:t>
      </w:r>
      <w:r w:rsidR="007B1489" w:rsidRPr="00CB6437">
        <w:rPr>
          <w:bCs/>
        </w:rPr>
        <w:t>dokladu o oprávnení podnikať</w:t>
      </w:r>
      <w:r w:rsidR="00A44A3D">
        <w:t xml:space="preserve"> </w:t>
      </w:r>
      <w:r w:rsidR="004F0B1B" w:rsidRPr="00CB6437">
        <w:t xml:space="preserve">– </w:t>
      </w:r>
      <w:r w:rsidR="007B1489" w:rsidRPr="00CB6437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B6437">
        <w:t xml:space="preserve">V prípade, že uchádzač s najnižšou cenou nepreukáže splnenie podmienok účasti, verejný obstarávateľ </w:t>
      </w:r>
      <w:r w:rsidR="00FB04C0" w:rsidRPr="00CB6437">
        <w:t>môže vyzvať</w:t>
      </w:r>
      <w:r w:rsidRPr="00CB6437">
        <w:t xml:space="preserve"> uchádzača druhého v poradí. Tento postup</w:t>
      </w:r>
      <w:r w:rsidR="00FB04C0" w:rsidRPr="00CB6437">
        <w:t xml:space="preserve">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3B441905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cenových ponúk bude uchádzačom zaslaná elektronicky.</w:t>
      </w:r>
    </w:p>
    <w:p w14:paraId="3E809ABA" w14:textId="4CA33325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BEE01B6" w14:textId="68A04773" w:rsidR="0012451C" w:rsidRDefault="0012451C" w:rsidP="0012451C"/>
    <w:p w14:paraId="67E1F751" w14:textId="77777777" w:rsidR="0012451C" w:rsidRDefault="0012451C" w:rsidP="0012451C"/>
    <w:p w14:paraId="429F46C0" w14:textId="66D0CFFA" w:rsidR="002C3005" w:rsidRDefault="002C3005" w:rsidP="002C3005">
      <w:r w:rsidRPr="00CB6437">
        <w:lastRenderedPageBreak/>
        <w:t xml:space="preserve">V Bratislave dňa </w:t>
      </w:r>
      <w:r w:rsidR="00DF12C5">
        <w:t>0</w:t>
      </w:r>
      <w:r w:rsidR="00DE6C57">
        <w:t>2</w:t>
      </w:r>
      <w:bookmarkStart w:id="9" w:name="_GoBack"/>
      <w:bookmarkEnd w:id="9"/>
      <w:r w:rsidR="004C46E7">
        <w:t>.1</w:t>
      </w:r>
      <w:r w:rsidR="00DF12C5">
        <w:t>2</w:t>
      </w:r>
      <w:r w:rsidR="004C46E7">
        <w:t>.2020</w:t>
      </w:r>
      <w:r>
        <w:t xml:space="preserve"> </w:t>
      </w:r>
    </w:p>
    <w:p w14:paraId="5D286DDA" w14:textId="730B3436" w:rsidR="00FB04C0" w:rsidRDefault="00FB04C0" w:rsidP="00FB04C0"/>
    <w:p w14:paraId="0FDEEAAA" w14:textId="32830339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2603BB">
      <w:pPr>
        <w:tabs>
          <w:tab w:val="center" w:pos="6804"/>
        </w:tabs>
      </w:pPr>
      <w:r>
        <w:tab/>
        <w:t xml:space="preserve">Vedúci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1E4E270F" w:rsidR="002C3005" w:rsidRPr="00BF7FAD" w:rsidRDefault="002C3005" w:rsidP="002C3005">
      <w:pPr>
        <w:tabs>
          <w:tab w:val="center" w:pos="6804"/>
        </w:tabs>
        <w:spacing w:after="0"/>
      </w:pPr>
      <w:r w:rsidRPr="00BF7FAD">
        <w:t>Zoznam príloh:</w:t>
      </w:r>
    </w:p>
    <w:p w14:paraId="373D3035" w14:textId="5CA34322" w:rsidR="002C3005" w:rsidRDefault="002C3005" w:rsidP="00F96728">
      <w:pPr>
        <w:pStyle w:val="Bezriadkovania"/>
      </w:pPr>
      <w:r w:rsidRPr="00EF37B3">
        <w:t>Príloha č. 1</w:t>
      </w:r>
      <w:r w:rsidR="00F96728">
        <w:t>:</w:t>
      </w:r>
      <w:r w:rsidRPr="00EF37B3">
        <w:t xml:space="preserve"> Návrh na plnenie kritérií</w:t>
      </w:r>
    </w:p>
    <w:p w14:paraId="7E535D45" w14:textId="09B4C2F9" w:rsidR="00F96728" w:rsidRDefault="00F96728" w:rsidP="00F96728">
      <w:pPr>
        <w:pStyle w:val="Bezriadkovania"/>
      </w:pPr>
      <w:r>
        <w:t xml:space="preserve">Príloha č. 2: Výkaz výmer SO05 </w:t>
      </w:r>
    </w:p>
    <w:p w14:paraId="139A33FE" w14:textId="798E7245" w:rsidR="00F96728" w:rsidRDefault="00F96728" w:rsidP="00F96728">
      <w:pPr>
        <w:pStyle w:val="Bezriadkovania"/>
      </w:pPr>
      <w:r>
        <w:t>Príloha č. 3: Výkaz výmer SO02, SO03, SO04</w:t>
      </w:r>
    </w:p>
    <w:p w14:paraId="68C2B846" w14:textId="5EC9E792" w:rsidR="004C46E7" w:rsidRDefault="004C46E7" w:rsidP="00F96728">
      <w:pPr>
        <w:pStyle w:val="Bezriadkovania"/>
      </w:pPr>
      <w:r>
        <w:t>Príloha č. 4: Zmluva o dielo</w:t>
      </w:r>
    </w:p>
    <w:p w14:paraId="5798C315" w14:textId="6257B795" w:rsidR="004C46E7" w:rsidRDefault="004C46E7" w:rsidP="00F96728">
      <w:pPr>
        <w:pStyle w:val="Bezriadkovania"/>
      </w:pPr>
      <w:r>
        <w:t>Príloha č. 5: Sprievodná správa SO02,SO03,SO04</w:t>
      </w:r>
    </w:p>
    <w:p w14:paraId="5A2ACC8F" w14:textId="5E3FA948" w:rsidR="004C46E7" w:rsidRDefault="004C46E7" w:rsidP="00F96728">
      <w:pPr>
        <w:pStyle w:val="Bezriadkovania"/>
      </w:pPr>
      <w:r>
        <w:t>Príloha č. 6: Výkresy SO02, SO03, SO04</w:t>
      </w:r>
    </w:p>
    <w:p w14:paraId="4B4E17D5" w14:textId="75C0FF0D" w:rsidR="004C46E7" w:rsidRDefault="004C46E7" w:rsidP="00F96728">
      <w:pPr>
        <w:pStyle w:val="Bezriadkovania"/>
      </w:pPr>
      <w:r>
        <w:t>Príloha č. 7: Sprievodná správa SO05</w:t>
      </w:r>
    </w:p>
    <w:p w14:paraId="14565D3D" w14:textId="311E62CC" w:rsidR="004C46E7" w:rsidRDefault="004C46E7" w:rsidP="00F96728">
      <w:pPr>
        <w:pStyle w:val="Bezriadkovania"/>
      </w:pPr>
      <w:r>
        <w:t xml:space="preserve">Príloha č. 8: </w:t>
      </w:r>
      <w:r w:rsidRPr="004C46E7">
        <w:t>Špe</w:t>
      </w:r>
      <w:r>
        <w:t>c</w:t>
      </w:r>
      <w:r w:rsidRPr="004C46E7">
        <w:t>ifikácia minimálnych technických štandardov</w:t>
      </w:r>
      <w:r>
        <w:t xml:space="preserve"> </w:t>
      </w:r>
      <w:r w:rsidRPr="004C46E7">
        <w:t>Svietidlo ozn. "A"</w:t>
      </w:r>
    </w:p>
    <w:p w14:paraId="2CC452FE" w14:textId="5430F6EC" w:rsidR="00F96728" w:rsidRDefault="004C46E7" w:rsidP="00F96728">
      <w:pPr>
        <w:pStyle w:val="Bezriadkovania"/>
      </w:pPr>
      <w:r>
        <w:t xml:space="preserve">Príloha č. 9: </w:t>
      </w:r>
      <w:r w:rsidRPr="004C46E7">
        <w:t>Špe</w:t>
      </w:r>
      <w:r>
        <w:t>c</w:t>
      </w:r>
      <w:r w:rsidRPr="004C46E7">
        <w:t>ifikácia minimálnych technických štandardov</w:t>
      </w:r>
      <w:r>
        <w:t xml:space="preserve"> </w:t>
      </w:r>
      <w:r w:rsidRPr="004C46E7">
        <w:t>Svietidlo ozn. "</w:t>
      </w:r>
      <w:r>
        <w:t>B</w:t>
      </w:r>
      <w:r w:rsidRPr="004C46E7">
        <w:t>"</w:t>
      </w:r>
    </w:p>
    <w:p w14:paraId="757D8CF4" w14:textId="46CD2B3F" w:rsidR="004C46E7" w:rsidRDefault="004C46E7" w:rsidP="00F96728">
      <w:pPr>
        <w:pStyle w:val="Bezriadkovania"/>
      </w:pPr>
      <w:r>
        <w:t>Príloha č.10:</w:t>
      </w:r>
      <w:r w:rsidR="003F6E24">
        <w:t xml:space="preserve"> </w:t>
      </w:r>
      <w:r>
        <w:t>Výkres SO05</w:t>
      </w:r>
    </w:p>
    <w:p w14:paraId="2FA2A528" w14:textId="77777777" w:rsidR="00F96728" w:rsidRDefault="00F96728" w:rsidP="00F96728">
      <w:pPr>
        <w:pStyle w:val="Bezriadkovania"/>
      </w:pPr>
    </w:p>
    <w:sectPr w:rsidR="00F96728" w:rsidSect="0060637E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FF18" w14:textId="77777777" w:rsidR="009C0912" w:rsidRDefault="009C0912" w:rsidP="001C031F">
      <w:pPr>
        <w:spacing w:after="0"/>
      </w:pPr>
      <w:r>
        <w:separator/>
      </w:r>
    </w:p>
  </w:endnote>
  <w:endnote w:type="continuationSeparator" w:id="0">
    <w:p w14:paraId="1B4C2A32" w14:textId="77777777" w:rsidR="009C0912" w:rsidRDefault="009C0912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D583" w14:textId="77777777" w:rsidR="009C0912" w:rsidRDefault="009C0912" w:rsidP="001C031F">
      <w:pPr>
        <w:spacing w:after="0"/>
      </w:pPr>
      <w:r>
        <w:separator/>
      </w:r>
    </w:p>
  </w:footnote>
  <w:footnote w:type="continuationSeparator" w:id="0">
    <w:p w14:paraId="5F2B5EE1" w14:textId="77777777" w:rsidR="009C0912" w:rsidRDefault="009C0912" w:rsidP="001C031F">
      <w:pPr>
        <w:spacing w:after="0"/>
      </w:pPr>
      <w:r>
        <w:continuationSeparator/>
      </w:r>
    </w:p>
  </w:footnote>
  <w:footnote w:id="1">
    <w:p w14:paraId="13EBFB4A" w14:textId="4212DAEB" w:rsidR="009B0603" w:rsidRPr="00C50E5D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C50E5D" w:rsidRPr="00C50E5D">
        <w:t>MAG 471794/2020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5" name="Obrázok 5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D5B"/>
    <w:multiLevelType w:val="hybridMultilevel"/>
    <w:tmpl w:val="5454990A"/>
    <w:lvl w:ilvl="0" w:tplc="041B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30974ECE"/>
    <w:multiLevelType w:val="hybridMultilevel"/>
    <w:tmpl w:val="DB085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A56"/>
    <w:multiLevelType w:val="hybridMultilevel"/>
    <w:tmpl w:val="59605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C57"/>
    <w:multiLevelType w:val="hybridMultilevel"/>
    <w:tmpl w:val="624EB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718B"/>
    <w:multiLevelType w:val="hybridMultilevel"/>
    <w:tmpl w:val="1110D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EB"/>
    <w:multiLevelType w:val="hybridMultilevel"/>
    <w:tmpl w:val="88F48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D69BA"/>
    <w:multiLevelType w:val="hybridMultilevel"/>
    <w:tmpl w:val="162AA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6094"/>
    <w:multiLevelType w:val="hybridMultilevel"/>
    <w:tmpl w:val="7862EC4C"/>
    <w:lvl w:ilvl="0" w:tplc="331AE6B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2DDE"/>
    <w:rsid w:val="000217F7"/>
    <w:rsid w:val="00027890"/>
    <w:rsid w:val="00043C3D"/>
    <w:rsid w:val="000661A3"/>
    <w:rsid w:val="000923BE"/>
    <w:rsid w:val="0009282E"/>
    <w:rsid w:val="000A78BD"/>
    <w:rsid w:val="000B2485"/>
    <w:rsid w:val="000C4B50"/>
    <w:rsid w:val="000D2861"/>
    <w:rsid w:val="000E6048"/>
    <w:rsid w:val="000E7AA0"/>
    <w:rsid w:val="000F4CF5"/>
    <w:rsid w:val="00116178"/>
    <w:rsid w:val="00117D0E"/>
    <w:rsid w:val="00121D92"/>
    <w:rsid w:val="00122124"/>
    <w:rsid w:val="0012451C"/>
    <w:rsid w:val="00130EF4"/>
    <w:rsid w:val="001406D2"/>
    <w:rsid w:val="00147DDE"/>
    <w:rsid w:val="0015592F"/>
    <w:rsid w:val="00162599"/>
    <w:rsid w:val="00171764"/>
    <w:rsid w:val="0017521C"/>
    <w:rsid w:val="001764DB"/>
    <w:rsid w:val="001909B3"/>
    <w:rsid w:val="0019202E"/>
    <w:rsid w:val="001949A3"/>
    <w:rsid w:val="001C031F"/>
    <w:rsid w:val="001E2395"/>
    <w:rsid w:val="001F04C8"/>
    <w:rsid w:val="001F1416"/>
    <w:rsid w:val="001F1AD6"/>
    <w:rsid w:val="001F486A"/>
    <w:rsid w:val="001F7296"/>
    <w:rsid w:val="00204B6B"/>
    <w:rsid w:val="002051D2"/>
    <w:rsid w:val="002134CA"/>
    <w:rsid w:val="00222693"/>
    <w:rsid w:val="00240A1F"/>
    <w:rsid w:val="00245336"/>
    <w:rsid w:val="00256778"/>
    <w:rsid w:val="002603BB"/>
    <w:rsid w:val="002619BD"/>
    <w:rsid w:val="00291A73"/>
    <w:rsid w:val="002A3309"/>
    <w:rsid w:val="002A5154"/>
    <w:rsid w:val="002B6753"/>
    <w:rsid w:val="002B7BBF"/>
    <w:rsid w:val="002C3005"/>
    <w:rsid w:val="002F546A"/>
    <w:rsid w:val="00314B14"/>
    <w:rsid w:val="00333040"/>
    <w:rsid w:val="00355574"/>
    <w:rsid w:val="003642CC"/>
    <w:rsid w:val="0036479D"/>
    <w:rsid w:val="0038619F"/>
    <w:rsid w:val="00386E6C"/>
    <w:rsid w:val="003A2A88"/>
    <w:rsid w:val="003B0C3B"/>
    <w:rsid w:val="003D25F2"/>
    <w:rsid w:val="003F54E7"/>
    <w:rsid w:val="003F6E24"/>
    <w:rsid w:val="004044C7"/>
    <w:rsid w:val="00412F48"/>
    <w:rsid w:val="004171F8"/>
    <w:rsid w:val="00433A4F"/>
    <w:rsid w:val="00436EBE"/>
    <w:rsid w:val="004608E0"/>
    <w:rsid w:val="00470DF3"/>
    <w:rsid w:val="0047625B"/>
    <w:rsid w:val="00483AA3"/>
    <w:rsid w:val="004845D1"/>
    <w:rsid w:val="00490F94"/>
    <w:rsid w:val="004C46E7"/>
    <w:rsid w:val="004C55A1"/>
    <w:rsid w:val="004D2DE3"/>
    <w:rsid w:val="004F0B1B"/>
    <w:rsid w:val="00535743"/>
    <w:rsid w:val="00574B18"/>
    <w:rsid w:val="00596A87"/>
    <w:rsid w:val="00597EFD"/>
    <w:rsid w:val="005A1107"/>
    <w:rsid w:val="005D4488"/>
    <w:rsid w:val="005E75B4"/>
    <w:rsid w:val="005E7ADE"/>
    <w:rsid w:val="005F049F"/>
    <w:rsid w:val="00600167"/>
    <w:rsid w:val="0060637E"/>
    <w:rsid w:val="0061604D"/>
    <w:rsid w:val="00636806"/>
    <w:rsid w:val="00643041"/>
    <w:rsid w:val="00656DE1"/>
    <w:rsid w:val="006614AB"/>
    <w:rsid w:val="00666011"/>
    <w:rsid w:val="00684525"/>
    <w:rsid w:val="00687BDB"/>
    <w:rsid w:val="00695B9A"/>
    <w:rsid w:val="00695DA6"/>
    <w:rsid w:val="00697E53"/>
    <w:rsid w:val="006C387B"/>
    <w:rsid w:val="006D610C"/>
    <w:rsid w:val="006E12F3"/>
    <w:rsid w:val="006E4B7D"/>
    <w:rsid w:val="006E5560"/>
    <w:rsid w:val="0074281C"/>
    <w:rsid w:val="00757B7A"/>
    <w:rsid w:val="00773984"/>
    <w:rsid w:val="00774F26"/>
    <w:rsid w:val="00786947"/>
    <w:rsid w:val="007916D9"/>
    <w:rsid w:val="007A40B0"/>
    <w:rsid w:val="007B1489"/>
    <w:rsid w:val="007B7266"/>
    <w:rsid w:val="007D683C"/>
    <w:rsid w:val="007D6F42"/>
    <w:rsid w:val="007D7F46"/>
    <w:rsid w:val="008115A8"/>
    <w:rsid w:val="00847334"/>
    <w:rsid w:val="008567F7"/>
    <w:rsid w:val="00875F6A"/>
    <w:rsid w:val="008A51FA"/>
    <w:rsid w:val="008B480B"/>
    <w:rsid w:val="008C2E39"/>
    <w:rsid w:val="008C6348"/>
    <w:rsid w:val="008D1F47"/>
    <w:rsid w:val="00932188"/>
    <w:rsid w:val="009418CD"/>
    <w:rsid w:val="00954031"/>
    <w:rsid w:val="00956DA7"/>
    <w:rsid w:val="009637D0"/>
    <w:rsid w:val="00985A43"/>
    <w:rsid w:val="009924AD"/>
    <w:rsid w:val="009A72D8"/>
    <w:rsid w:val="009B0603"/>
    <w:rsid w:val="009C0912"/>
    <w:rsid w:val="009D0AAE"/>
    <w:rsid w:val="009D4999"/>
    <w:rsid w:val="009E1632"/>
    <w:rsid w:val="00A02015"/>
    <w:rsid w:val="00A319D7"/>
    <w:rsid w:val="00A44A3D"/>
    <w:rsid w:val="00A50A7F"/>
    <w:rsid w:val="00A5346A"/>
    <w:rsid w:val="00A93013"/>
    <w:rsid w:val="00AA26A1"/>
    <w:rsid w:val="00AB6DB1"/>
    <w:rsid w:val="00AB6E49"/>
    <w:rsid w:val="00AC2C21"/>
    <w:rsid w:val="00AD4437"/>
    <w:rsid w:val="00AE541D"/>
    <w:rsid w:val="00AE6E91"/>
    <w:rsid w:val="00AF1C9E"/>
    <w:rsid w:val="00B14769"/>
    <w:rsid w:val="00B239AA"/>
    <w:rsid w:val="00B309FE"/>
    <w:rsid w:val="00B34216"/>
    <w:rsid w:val="00B416C9"/>
    <w:rsid w:val="00B648BA"/>
    <w:rsid w:val="00B76B13"/>
    <w:rsid w:val="00B838D9"/>
    <w:rsid w:val="00B86D95"/>
    <w:rsid w:val="00B969AE"/>
    <w:rsid w:val="00BA53F7"/>
    <w:rsid w:val="00BC1C6F"/>
    <w:rsid w:val="00BD2C67"/>
    <w:rsid w:val="00BF1322"/>
    <w:rsid w:val="00BF7FAD"/>
    <w:rsid w:val="00C21CC8"/>
    <w:rsid w:val="00C2611D"/>
    <w:rsid w:val="00C26FDB"/>
    <w:rsid w:val="00C46444"/>
    <w:rsid w:val="00C469A6"/>
    <w:rsid w:val="00C50E5D"/>
    <w:rsid w:val="00C80B68"/>
    <w:rsid w:val="00C815CB"/>
    <w:rsid w:val="00C81956"/>
    <w:rsid w:val="00C92C3F"/>
    <w:rsid w:val="00CB6437"/>
    <w:rsid w:val="00CB7EB9"/>
    <w:rsid w:val="00CC0A22"/>
    <w:rsid w:val="00CC38B6"/>
    <w:rsid w:val="00D0085C"/>
    <w:rsid w:val="00D065E7"/>
    <w:rsid w:val="00D156B6"/>
    <w:rsid w:val="00D34213"/>
    <w:rsid w:val="00D3695D"/>
    <w:rsid w:val="00D5126B"/>
    <w:rsid w:val="00D70C22"/>
    <w:rsid w:val="00D97DF4"/>
    <w:rsid w:val="00DB63FB"/>
    <w:rsid w:val="00DC0ECC"/>
    <w:rsid w:val="00DE6C57"/>
    <w:rsid w:val="00DF12C5"/>
    <w:rsid w:val="00E63E0A"/>
    <w:rsid w:val="00E64717"/>
    <w:rsid w:val="00E726AF"/>
    <w:rsid w:val="00E93941"/>
    <w:rsid w:val="00EA6F79"/>
    <w:rsid w:val="00EB0BE6"/>
    <w:rsid w:val="00EC0244"/>
    <w:rsid w:val="00EC099F"/>
    <w:rsid w:val="00ED68D7"/>
    <w:rsid w:val="00EE4AC5"/>
    <w:rsid w:val="00EF2F93"/>
    <w:rsid w:val="00EF37B3"/>
    <w:rsid w:val="00F00CAE"/>
    <w:rsid w:val="00F148A2"/>
    <w:rsid w:val="00F258FF"/>
    <w:rsid w:val="00F616EB"/>
    <w:rsid w:val="00F86F4F"/>
    <w:rsid w:val="00F96728"/>
    <w:rsid w:val="00F975F1"/>
    <w:rsid w:val="00FB04C0"/>
    <w:rsid w:val="00FB3195"/>
    <w:rsid w:val="00FB631C"/>
    <w:rsid w:val="00FD194E"/>
    <w:rsid w:val="00FD67A8"/>
    <w:rsid w:val="00FD7C8D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967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Revzia">
    <w:name w:val="Revision"/>
    <w:hidden/>
    <w:uiPriority w:val="99"/>
    <w:semiHidden/>
    <w:rsid w:val="0060016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josephine.proebiz.com/sk/tender/9810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Technicke_poziadavky_sw_JOSEPHINE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nemethova@bratislava.sk" TargetMode="External"/><Relationship Id="rId14" Type="http://schemas.openxmlformats.org/officeDocument/2006/relationships/hyperlink" Target="https://store.proebiz.com/docs/josephine/sk/Manual_registracie_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D05-6E68-47E2-B465-86F4544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7</cp:revision>
  <dcterms:created xsi:type="dcterms:W3CDTF">2020-12-02T08:06:00Z</dcterms:created>
  <dcterms:modified xsi:type="dcterms:W3CDTF">2020-12-02T11:52:00Z</dcterms:modified>
</cp:coreProperties>
</file>