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8A16B" w14:textId="77777777" w:rsidR="00EA62EE" w:rsidRDefault="00EA62EE" w:rsidP="00EA62E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  <w:bookmarkStart w:id="0" w:name="_Hlk37254033"/>
    </w:p>
    <w:p w14:paraId="667570F1" w14:textId="77777777" w:rsidR="00EA62EE" w:rsidRPr="00A21891" w:rsidRDefault="00EA62EE" w:rsidP="00EA62EE">
      <w:pPr>
        <w:pStyle w:val="Default"/>
        <w:suppressAutoHyphens/>
        <w:autoSpaceDN/>
        <w:adjustRightInd/>
        <w:spacing w:after="60"/>
        <w:jc w:val="center"/>
        <w:rPr>
          <w:rFonts w:asciiTheme="majorHAnsi" w:eastAsia="Arial" w:hAnsiTheme="majorHAnsi" w:cstheme="majorHAnsi"/>
          <w:color w:val="2F5496" w:themeColor="accent1" w:themeShade="BF"/>
          <w:sz w:val="36"/>
          <w:szCs w:val="36"/>
        </w:rPr>
      </w:pPr>
      <w:r w:rsidRPr="00A21891">
        <w:rPr>
          <w:rFonts w:asciiTheme="majorHAnsi" w:eastAsia="Arial" w:hAnsiTheme="majorHAnsi" w:cstheme="majorHAnsi"/>
          <w:color w:val="2F5496" w:themeColor="accent1" w:themeShade="BF"/>
          <w:sz w:val="36"/>
          <w:szCs w:val="36"/>
        </w:rPr>
        <w:t>NÁVRH NA PLNENIE KRITÉRIA NA VYHODNOTENIE PONÚK</w:t>
      </w:r>
    </w:p>
    <w:p w14:paraId="427ABD0B" w14:textId="77777777" w:rsidR="00EA62EE" w:rsidRPr="00A21891" w:rsidRDefault="00EA62EE" w:rsidP="00EA62EE">
      <w:pPr>
        <w:pStyle w:val="Default"/>
        <w:suppressAutoHyphens/>
        <w:autoSpaceDN/>
        <w:adjustRightInd/>
        <w:spacing w:after="60"/>
        <w:jc w:val="center"/>
        <w:rPr>
          <w:rFonts w:asciiTheme="majorHAnsi" w:hAnsiTheme="majorHAnsi" w:cstheme="majorHAnsi"/>
          <w:color w:val="2F5496" w:themeColor="accent1" w:themeShade="BF"/>
          <w:sz w:val="36"/>
          <w:szCs w:val="36"/>
        </w:rPr>
      </w:pPr>
      <w:bookmarkStart w:id="1" w:name="_Hlk22050006"/>
      <w:bookmarkStart w:id="2" w:name="_GoBack"/>
      <w:bookmarkEnd w:id="2"/>
      <w:proofErr w:type="gramStart"/>
      <w:r w:rsidRPr="00A21891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>A</w:t>
      </w:r>
      <w:proofErr w:type="gramEnd"/>
      <w:r w:rsidRPr="00A21891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> IDENTIFIKÁČNÉ ÚDAJE UCHÁDZAČA</w:t>
      </w:r>
      <w:bookmarkEnd w:id="1"/>
    </w:p>
    <w:p w14:paraId="79B3339F" w14:textId="77777777" w:rsidR="00EA62EE" w:rsidRPr="005F54D5" w:rsidRDefault="00EA62EE" w:rsidP="00EA62EE">
      <w:pPr>
        <w:pStyle w:val="Default"/>
        <w:suppressAutoHyphens/>
        <w:autoSpaceDN/>
        <w:adjustRightInd/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058CA" w14:textId="77777777" w:rsidR="00EA62EE" w:rsidRPr="00645B33" w:rsidRDefault="00EA62EE" w:rsidP="00EA62E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5EB2B4D" w14:textId="77777777" w:rsidR="00EA62EE" w:rsidRPr="00645B33" w:rsidRDefault="00EA62EE" w:rsidP="00EA62E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9E914CC" w14:textId="77777777" w:rsidR="00EA62EE" w:rsidRDefault="00EA62EE" w:rsidP="00EA62E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DCF9832" w14:textId="77777777" w:rsidR="00EA62EE" w:rsidRDefault="00EA62EE" w:rsidP="00EA62EE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00E97F2" w14:textId="77777777" w:rsidR="00EA62EE" w:rsidRPr="001D0187" w:rsidRDefault="00EA62EE" w:rsidP="00EA62EE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AE7FA54" w14:textId="77777777" w:rsidR="00EA62EE" w:rsidRPr="001D0187" w:rsidRDefault="00EA62EE" w:rsidP="00EA62EE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07B3312" w14:textId="77777777" w:rsidR="00EA62EE" w:rsidRPr="001D0187" w:rsidRDefault="00EA62EE" w:rsidP="00EA62EE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163091D" w14:textId="77777777" w:rsidR="00EA62EE" w:rsidRPr="001D0187" w:rsidRDefault="00EA62EE" w:rsidP="00EA62EE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F6173A1" w14:textId="77777777" w:rsidR="00EA62EE" w:rsidRPr="00645B33" w:rsidRDefault="00EA62EE" w:rsidP="00EA62EE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89DB604" w14:textId="77777777" w:rsidR="00EA62EE" w:rsidRPr="00645B33" w:rsidRDefault="00EA62EE" w:rsidP="00EA62EE">
      <w:pPr>
        <w:spacing w:after="120"/>
        <w:rPr>
          <w:bCs/>
          <w:color w:val="000000"/>
        </w:rPr>
      </w:pPr>
    </w:p>
    <w:p w14:paraId="755C78B6" w14:textId="77777777" w:rsidR="00EA62EE" w:rsidRDefault="00EA62EE" w:rsidP="00EA62EE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Pr="00E90651">
        <w:rPr>
          <w:b/>
          <w:bCs/>
        </w:rPr>
        <w:t xml:space="preserve">Nákup </w:t>
      </w:r>
      <w:r>
        <w:rPr>
          <w:b/>
          <w:bCs/>
        </w:rPr>
        <w:t>65 ks monitorov</w:t>
      </w:r>
      <w:r w:rsidRPr="00611D73">
        <w:rPr>
          <w:b/>
        </w:rPr>
        <w:t>“</w:t>
      </w:r>
      <w:r>
        <w:t xml:space="preserve"> </w:t>
      </w:r>
    </w:p>
    <w:p w14:paraId="778FE655" w14:textId="77777777" w:rsidR="00EA62EE" w:rsidRDefault="00EA62EE" w:rsidP="00EA62EE">
      <w:pPr>
        <w:spacing w:after="120"/>
        <w:ind w:left="2127" w:hanging="2127"/>
        <w:rPr>
          <w:b/>
          <w:bCs/>
          <w:color w:val="000000"/>
        </w:rPr>
      </w:pPr>
    </w:p>
    <w:p w14:paraId="668453C5" w14:textId="77777777" w:rsidR="00EA62EE" w:rsidRPr="00645B33" w:rsidRDefault="00EA62EE" w:rsidP="00EA62E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14:paraId="7D8EA75F" w14:textId="77777777" w:rsidR="00EA62EE" w:rsidRPr="00645B33" w:rsidRDefault="00EA62EE" w:rsidP="00EA62E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78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545"/>
        <w:gridCol w:w="3132"/>
      </w:tblGrid>
      <w:tr w:rsidR="00EA62EE" w:rsidRPr="00645B33" w14:paraId="7BC2DFE4" w14:textId="77777777" w:rsidTr="00996695">
        <w:tc>
          <w:tcPr>
            <w:tcW w:w="3148" w:type="dxa"/>
            <w:shd w:val="clear" w:color="auto" w:fill="D9D9D9"/>
            <w:vAlign w:val="center"/>
          </w:tcPr>
          <w:p w14:paraId="64B7DC8C" w14:textId="77777777" w:rsidR="00EA62EE" w:rsidRPr="00645B33" w:rsidRDefault="00EA62EE" w:rsidP="00996695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7C94DC91" w14:textId="77777777" w:rsidR="00EA62EE" w:rsidRPr="00645B33" w:rsidRDefault="00EA62EE" w:rsidP="00996695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132" w:type="dxa"/>
            <w:shd w:val="clear" w:color="auto" w:fill="D9D9D9"/>
            <w:vAlign w:val="center"/>
          </w:tcPr>
          <w:p w14:paraId="75DEB496" w14:textId="77777777" w:rsidR="00EA62EE" w:rsidRDefault="00EA62EE" w:rsidP="00996695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EA62EE" w:rsidRPr="00645B33" w14:paraId="4CE8CBE3" w14:textId="77777777" w:rsidTr="00996695">
        <w:trPr>
          <w:trHeight w:val="605"/>
        </w:trPr>
        <w:tc>
          <w:tcPr>
            <w:tcW w:w="3148" w:type="dxa"/>
            <w:shd w:val="clear" w:color="auto" w:fill="auto"/>
            <w:vAlign w:val="center"/>
          </w:tcPr>
          <w:p w14:paraId="7E142257" w14:textId="77777777" w:rsidR="00EA62EE" w:rsidRPr="00645B33" w:rsidRDefault="00EA62EE" w:rsidP="00996695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5764ED3" w14:textId="77777777" w:rsidR="00EA62EE" w:rsidRPr="00645B33" w:rsidRDefault="00EA62EE" w:rsidP="00996695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132" w:type="dxa"/>
            <w:vAlign w:val="center"/>
          </w:tcPr>
          <w:p w14:paraId="06BAF229" w14:textId="77777777" w:rsidR="00EA62EE" w:rsidRPr="00645B33" w:rsidRDefault="00EA62EE" w:rsidP="00996695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19E297C3" w14:textId="77777777" w:rsidR="00EA62EE" w:rsidRDefault="00EA62EE" w:rsidP="00EA62EE">
      <w:pPr>
        <w:spacing w:after="120"/>
        <w:rPr>
          <w:b/>
          <w:bCs/>
          <w:color w:val="000000"/>
        </w:rPr>
      </w:pPr>
    </w:p>
    <w:p w14:paraId="24E4D494" w14:textId="77777777" w:rsidR="00EA62EE" w:rsidRPr="00645B33" w:rsidRDefault="00EA62EE" w:rsidP="00EA62EE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79BC0934" w14:textId="77777777" w:rsidR="00EA62EE" w:rsidRPr="00645B33" w:rsidRDefault="00EA62EE" w:rsidP="00EA62E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DBA0F1F" w14:textId="77777777" w:rsidR="00EA62EE" w:rsidRPr="00645B33" w:rsidRDefault="00EA62EE" w:rsidP="00EA62EE">
      <w:pPr>
        <w:spacing w:after="120"/>
        <w:rPr>
          <w:b/>
          <w:bCs/>
          <w:color w:val="000000"/>
        </w:rPr>
      </w:pPr>
    </w:p>
    <w:p w14:paraId="25E2DC39" w14:textId="77777777" w:rsidR="00EA62EE" w:rsidRDefault="00EA62EE" w:rsidP="00EA62E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</w:t>
      </w:r>
    </w:p>
    <w:p w14:paraId="0B2746E2" w14:textId="77777777" w:rsidR="00EA62EE" w:rsidRPr="00645B33" w:rsidRDefault="00EA62EE" w:rsidP="00EA62EE">
      <w:pPr>
        <w:spacing w:after="120"/>
        <w:rPr>
          <w:bCs/>
          <w:color w:val="000000"/>
        </w:rPr>
      </w:pPr>
    </w:p>
    <w:p w14:paraId="7CD70D36" w14:textId="77777777" w:rsidR="00EA62EE" w:rsidRPr="00645B33" w:rsidRDefault="00EA62EE" w:rsidP="00EA62E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6122CAE6" w14:textId="77777777" w:rsidR="00EA62EE" w:rsidRPr="00645B33" w:rsidRDefault="00EA62EE" w:rsidP="00EA62EE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1C7D67">
        <w:rPr>
          <w:bCs/>
          <w:color w:val="000000"/>
          <w:highlight w:val="yellow"/>
        </w:rPr>
        <w:t>meno a priezvisko</w:t>
      </w:r>
    </w:p>
    <w:p w14:paraId="0ECEC42E" w14:textId="77777777" w:rsidR="00EA62EE" w:rsidRDefault="00EA62EE" w:rsidP="00EA62EE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1C7D67">
        <w:rPr>
          <w:bCs/>
          <w:color w:val="000000"/>
          <w:highlight w:val="yellow"/>
        </w:rPr>
        <w:t xml:space="preserve">podpis štatutárneho zástupcu </w:t>
      </w:r>
    </w:p>
    <w:p w14:paraId="2D48DE65" w14:textId="77777777" w:rsidR="00F666F5" w:rsidRPr="00EA62EE" w:rsidRDefault="00EA62EE" w:rsidP="00EA62EE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proofErr w:type="spellStart"/>
      <w:r w:rsidRPr="001C7D67">
        <w:rPr>
          <w:rFonts w:ascii="Times New Roman" w:hAnsi="Times New Roman"/>
          <w:bCs/>
          <w:highlight w:val="yellow"/>
        </w:rPr>
        <w:t>pečiatka</w:t>
      </w:r>
      <w:bookmarkEnd w:id="0"/>
      <w:proofErr w:type="spellEnd"/>
    </w:p>
    <w:sectPr w:rsidR="00F666F5" w:rsidRPr="00EA62EE" w:rsidSect="00BA643F">
      <w:headerReference w:type="first" r:id="rId8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4FAA" w14:textId="77777777" w:rsidR="0033255C" w:rsidRPr="00895EB8" w:rsidRDefault="00EA62EE" w:rsidP="009E2934">
    <w:pPr>
      <w:pStyle w:val="Hlavika"/>
      <w:jc w:val="both"/>
      <w:rPr>
        <w:sz w:val="22"/>
      </w:rPr>
    </w:pPr>
    <w:r w:rsidRPr="00895EB8">
      <w:rPr>
        <w:sz w:val="22"/>
      </w:rPr>
      <w:t xml:space="preserve">Príloha č. </w:t>
    </w:r>
    <w:r>
      <w:rPr>
        <w:sz w:val="22"/>
      </w:rPr>
      <w:t>2</w:t>
    </w:r>
    <w:r w:rsidRPr="00895EB8">
      <w:rPr>
        <w:sz w:val="22"/>
      </w:rPr>
      <w:t xml:space="preserve"> výzvy č. </w:t>
    </w:r>
    <w:r>
      <w:rPr>
        <w:sz w:val="22"/>
      </w:rPr>
      <w:t>1</w:t>
    </w:r>
    <w:r>
      <w:rPr>
        <w:sz w:val="22"/>
      </w:rPr>
      <w:t>2</w:t>
    </w:r>
    <w:r w:rsidRPr="00895EB8">
      <w:rPr>
        <w:sz w:val="22"/>
      </w:rPr>
      <w:t xml:space="preserve"> - „</w:t>
    </w:r>
    <w:r w:rsidRPr="00F7343D">
      <w:rPr>
        <w:sz w:val="22"/>
      </w:rPr>
      <w:t xml:space="preserve">Nákup </w:t>
    </w:r>
    <w:r>
      <w:rPr>
        <w:sz w:val="22"/>
      </w:rPr>
      <w:t>65</w:t>
    </w:r>
    <w:r w:rsidRPr="00F7343D">
      <w:rPr>
        <w:sz w:val="22"/>
      </w:rPr>
      <w:t xml:space="preserve"> ks </w:t>
    </w:r>
    <w:r>
      <w:rPr>
        <w:sz w:val="22"/>
      </w:rPr>
      <w:t>monitorov</w:t>
    </w:r>
    <w:r w:rsidRPr="00895EB8">
      <w:rPr>
        <w:sz w:val="22"/>
      </w:rPr>
      <w:t>“</w:t>
    </w:r>
    <w:r w:rsidRPr="00895EB8"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EE"/>
    <w:rsid w:val="002D64D6"/>
    <w:rsid w:val="00603F2E"/>
    <w:rsid w:val="00765FEB"/>
    <w:rsid w:val="00D75657"/>
    <w:rsid w:val="00EA62EE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F8E3"/>
  <w15:chartTrackingRefBased/>
  <w15:docId w15:val="{159BC902-9CCE-4FD4-91CB-CDF9F1D4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2EE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5DF0CE5B77E4FAEB05F4AC636D3C6" ma:contentTypeVersion="13" ma:contentTypeDescription="Create a new document." ma:contentTypeScope="" ma:versionID="c21ee2dfb39cca656180186e40e2273d">
  <xsd:schema xmlns:xsd="http://www.w3.org/2001/XMLSchema" xmlns:xs="http://www.w3.org/2001/XMLSchema" xmlns:p="http://schemas.microsoft.com/office/2006/metadata/properties" xmlns:ns3="6dc9d6c1-4ae2-43ab-ac86-e1481f4b5516" xmlns:ns4="80e26851-0510-4621-9172-e5f75f25591f" targetNamespace="http://schemas.microsoft.com/office/2006/metadata/properties" ma:root="true" ma:fieldsID="9fa5ce3e62041c856ea6f24fd42c67e0" ns3:_="" ns4:_="">
    <xsd:import namespace="6dc9d6c1-4ae2-43ab-ac86-e1481f4b5516"/>
    <xsd:import namespace="80e26851-0510-4621-9172-e5f75f255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d6c1-4ae2-43ab-ac86-e1481f4b5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26851-0510-4621-9172-e5f75f255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73DDB-B3A0-42F0-9BC4-BC218B81B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9d6c1-4ae2-43ab-ac86-e1481f4b5516"/>
    <ds:schemaRef ds:uri="80e26851-0510-4621-9172-e5f75f255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6AD87-ECE5-45A4-A8A0-E93E92318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CBF3C-8A6A-4F9A-85C7-55C1F93D2F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1</cp:revision>
  <dcterms:created xsi:type="dcterms:W3CDTF">2020-12-11T14:28:00Z</dcterms:created>
  <dcterms:modified xsi:type="dcterms:W3CDTF">2020-12-11T14:30:00Z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0x010100F215DF0CE5B77E4FAEB05F4AC636D3C6</vt:lpwstr>
  </property>
</Properties>
</file>