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4897"/>
        <w:gridCol w:w="2739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F83964">
              <w:rPr>
                <w:rFonts w:ascii="Arial" w:hAnsi="Arial" w:cs="Arial"/>
                <w:sz w:val="24"/>
              </w:rPr>
              <w:t>Ivanská</w:t>
            </w:r>
            <w:proofErr w:type="spellEnd"/>
            <w:r w:rsidRPr="00F83964">
              <w:rPr>
                <w:rFonts w:ascii="Arial" w:hAnsi="Arial" w:cs="Arial"/>
                <w:sz w:val="24"/>
              </w:rPr>
              <w:t xml:space="preserve">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CF78D7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27790A67" w14:textId="77777777" w:rsidTr="00162A51">
        <w:trPr>
          <w:cantSplit/>
          <w:trHeight w:val="367"/>
        </w:trPr>
        <w:tc>
          <w:tcPr>
            <w:tcW w:w="799" w:type="dxa"/>
            <w:tcBorders>
              <w:left w:val="double" w:sz="4" w:space="0" w:color="auto"/>
            </w:tcBorders>
          </w:tcPr>
          <w:p w14:paraId="7728F3DC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 w:val="restart"/>
          </w:tcPr>
          <w:p w14:paraId="79202831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61B2E7F2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2F1C9D89" w14:textId="77777777" w:rsidTr="00162A51">
        <w:trPr>
          <w:cantSplit/>
          <w:trHeight w:val="358"/>
        </w:trPr>
        <w:tc>
          <w:tcPr>
            <w:tcW w:w="799" w:type="dxa"/>
            <w:tcBorders>
              <w:left w:val="double" w:sz="4" w:space="0" w:color="auto"/>
            </w:tcBorders>
          </w:tcPr>
          <w:p w14:paraId="6990E2F0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/>
          </w:tcPr>
          <w:p w14:paraId="765F0300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360313D5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6FE56BF6" w14:textId="77777777" w:rsidTr="00162A51">
        <w:trPr>
          <w:cantSplit/>
          <w:trHeight w:val="761"/>
        </w:trPr>
        <w:tc>
          <w:tcPr>
            <w:tcW w:w="799" w:type="dxa"/>
            <w:tcBorders>
              <w:left w:val="double" w:sz="4" w:space="0" w:color="auto"/>
            </w:tcBorders>
          </w:tcPr>
          <w:p w14:paraId="77D44B5C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2"/>
            <w:vMerge/>
          </w:tcPr>
          <w:p w14:paraId="265C0A46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2"/>
            <w:tcBorders>
              <w:right w:val="double" w:sz="4" w:space="0" w:color="auto"/>
            </w:tcBorders>
          </w:tcPr>
          <w:p w14:paraId="3402F107" w14:textId="77777777" w:rsidR="007C168A" w:rsidRPr="00F83964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857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C168A" w:rsidRPr="00F83964" w14:paraId="6FC3BFF9" w14:textId="77777777" w:rsidTr="007C168A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442551B1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>ov a odberateľov</w:t>
                  </w:r>
                </w:p>
                <w:p w14:paraId="13221FBE" w14:textId="746BF4AD" w:rsidR="00473223" w:rsidRPr="00F83964" w:rsidRDefault="00162A51" w:rsidP="00AE5A8F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jc w:val="center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eastAsia="ar-SA"/>
                    </w:rPr>
                    <w:t xml:space="preserve">Príloha č. 1 </w:t>
                  </w:r>
                  <w:r w:rsidRPr="006B747C">
                    <w:rPr>
                      <w:rFonts w:ascii="Arial" w:hAnsi="Arial" w:cs="Arial"/>
                      <w:b/>
                      <w:sz w:val="32"/>
                      <w:lang w:eastAsia="ar-SA"/>
                    </w:rPr>
                    <w:t>k</w:t>
                  </w:r>
                  <w:r w:rsidR="00473223" w:rsidRPr="006B747C">
                    <w:rPr>
                      <w:rFonts w:ascii="Arial" w:hAnsi="Arial" w:cs="Arial"/>
                      <w:b/>
                      <w:sz w:val="32"/>
                      <w:lang w:eastAsia="ar-SA"/>
                    </w:rPr>
                    <w:t xml:space="preserve"> ZVN-2-HSE-2021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tbl>
                  <w:tblPr>
                    <w:tblStyle w:val="Mriekatabuky"/>
                    <w:tblpPr w:leftFromText="141" w:rightFromText="141" w:vertAnchor="text" w:horzAnchor="margin" w:tblpY="2218"/>
                    <w:tblOverlap w:val="never"/>
                    <w:tblW w:w="9487" w:type="dxa"/>
                    <w:tblLook w:val="04A0" w:firstRow="1" w:lastRow="0" w:firstColumn="1" w:lastColumn="0" w:noHBand="0" w:noVBand="1"/>
                  </w:tblPr>
                  <w:tblGrid>
                    <w:gridCol w:w="1666"/>
                    <w:gridCol w:w="3574"/>
                    <w:gridCol w:w="1985"/>
                    <w:gridCol w:w="2262"/>
                  </w:tblGrid>
                  <w:tr w:rsidR="00EF4A73" w:rsidRPr="00163C5E" w14:paraId="05D14311" w14:textId="77777777" w:rsidTr="00EF4A73">
                    <w:trPr>
                      <w:trHeight w:val="287"/>
                    </w:trPr>
                    <w:tc>
                      <w:tcPr>
                        <w:tcW w:w="1666" w:type="dxa"/>
                        <w:shd w:val="clear" w:color="auto" w:fill="FFC000"/>
                      </w:tcPr>
                      <w:p w14:paraId="37CC8C65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3574" w:type="dxa"/>
                        <w:shd w:val="clear" w:color="auto" w:fill="FFC000"/>
                      </w:tcPr>
                      <w:p w14:paraId="3D32CCA8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Meno a priezvisko</w:t>
                        </w:r>
                      </w:p>
                    </w:tc>
                    <w:tc>
                      <w:tcPr>
                        <w:tcW w:w="1985" w:type="dxa"/>
                        <w:shd w:val="clear" w:color="auto" w:fill="FFC000"/>
                      </w:tcPr>
                      <w:p w14:paraId="60E20F9D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Funkcia</w:t>
                        </w:r>
                      </w:p>
                    </w:tc>
                    <w:tc>
                      <w:tcPr>
                        <w:tcW w:w="2262" w:type="dxa"/>
                        <w:shd w:val="clear" w:color="auto" w:fill="FFC000"/>
                      </w:tcPr>
                      <w:p w14:paraId="5B7DD7EB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Podpis</w:t>
                        </w:r>
                      </w:p>
                    </w:tc>
                  </w:tr>
                  <w:tr w:rsidR="00EF4A73" w:rsidRPr="00163C5E" w14:paraId="61034176" w14:textId="77777777" w:rsidTr="00EF4A73">
                    <w:trPr>
                      <w:trHeight w:val="824"/>
                    </w:trPr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8069DD8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Vypracoval:</w:t>
                        </w:r>
                      </w:p>
                    </w:tc>
                    <w:tc>
                      <w:tcPr>
                        <w:tcW w:w="3574" w:type="dxa"/>
                        <w:vAlign w:val="center"/>
                      </w:tcPr>
                      <w:p w14:paraId="40E249ED" w14:textId="77777777" w:rsidR="00EF4A73" w:rsidRPr="00163C5E" w:rsidRDefault="00EF4A73" w:rsidP="00EF4A73">
                        <w:pPr>
                          <w:spacing w:line="276" w:lineRule="auto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Ing. Mgr. Alexandra Markovičová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443AD680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ABT/TPO 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14:paraId="2043B854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4A73" w:rsidRPr="00163C5E" w14:paraId="5AA2B9DB" w14:textId="77777777" w:rsidTr="00EF4A73">
                    <w:trPr>
                      <w:trHeight w:val="483"/>
                    </w:trPr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4F328A1" w14:textId="77777777" w:rsidR="00EF4A73" w:rsidRPr="00B45FD3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4" w:type="dxa"/>
                        <w:vMerge w:val="restart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0F6A7D63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B45FD3">
                          <w:rPr>
                            <w:rFonts w:cs="Arial"/>
                            <w:sz w:val="24"/>
                            <w:szCs w:val="24"/>
                          </w:rPr>
                          <w:t>Ing. Anna Rothbergová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vAlign w:val="center"/>
                      </w:tcPr>
                      <w:p w14:paraId="0358EABA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B45FD3">
                          <w:rPr>
                            <w:rFonts w:cs="Arial"/>
                            <w:sz w:val="24"/>
                            <w:szCs w:val="24"/>
                          </w:rPr>
                          <w:t>HSE manažér</w:t>
                        </w:r>
                      </w:p>
                    </w:tc>
                    <w:tc>
                      <w:tcPr>
                        <w:tcW w:w="2262" w:type="dxa"/>
                        <w:vMerge w:val="restart"/>
                        <w:vAlign w:val="center"/>
                      </w:tcPr>
                      <w:p w14:paraId="0531980C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4A73" w:rsidRPr="00163C5E" w14:paraId="313E5C99" w14:textId="77777777" w:rsidTr="00EF4A73">
                    <w:trPr>
                      <w:trHeight w:val="60"/>
                    </w:trPr>
                    <w:tc>
                      <w:tcPr>
                        <w:tcW w:w="1666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FC0FAEC" w14:textId="77777777" w:rsidR="00EF4A73" w:rsidRPr="00B45FD3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B45FD3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>Kontroloval:</w:t>
                        </w:r>
                      </w:p>
                    </w:tc>
                    <w:tc>
                      <w:tcPr>
                        <w:tcW w:w="3574" w:type="dxa"/>
                        <w:vMerge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19670CF3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vAlign w:val="center"/>
                      </w:tcPr>
                      <w:p w14:paraId="21687842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2" w:type="dxa"/>
                        <w:vMerge/>
                        <w:vAlign w:val="center"/>
                      </w:tcPr>
                      <w:p w14:paraId="3FDA355F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4A73" w:rsidRPr="00163C5E" w14:paraId="415B36C7" w14:textId="77777777" w:rsidTr="00EF4A73">
                    <w:trPr>
                      <w:trHeight w:val="483"/>
                    </w:trPr>
                    <w:tc>
                      <w:tcPr>
                        <w:tcW w:w="16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732051" w14:textId="77777777" w:rsidR="00EF4A73" w:rsidRPr="00B45FD3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1BAB88E3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Ing. Matej Nemec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1EAF2E8E" w14:textId="77777777" w:rsidR="00EF4A73" w:rsidRPr="00B45FD3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Technik BOZP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14:paraId="4199B901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4A73" w:rsidRPr="00163C5E" w14:paraId="2799E32F" w14:textId="77777777" w:rsidTr="00EF4A73">
                    <w:trPr>
                      <w:trHeight w:val="737"/>
                    </w:trPr>
                    <w:tc>
                      <w:tcPr>
                        <w:tcW w:w="166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3513AD8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b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Fonts w:cs="Arial"/>
                            <w:b/>
                            <w:sz w:val="24"/>
                            <w:szCs w:val="24"/>
                          </w:rPr>
                          <w:t xml:space="preserve">Schválil: </w:t>
                        </w:r>
                      </w:p>
                    </w:tc>
                    <w:tc>
                      <w:tcPr>
                        <w:tcW w:w="3574" w:type="dxa"/>
                        <w:vAlign w:val="center"/>
                      </w:tcPr>
                      <w:p w14:paraId="3E4B6668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Style w:val="ra"/>
                            <w:rFonts w:cs="Arial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Ing. </w:t>
                        </w:r>
                        <w:hyperlink r:id="rId9" w:history="1">
                          <w:r w:rsidRPr="00163C5E">
                            <w:rPr>
                              <w:rStyle w:val="ra"/>
                              <w:rFonts w:cs="Arial"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Andrej Rutkovský</w:t>
                          </w:r>
                        </w:hyperlink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6DA479DF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č</w:t>
                        </w:r>
                        <w:r w:rsidRPr="00163C5E">
                          <w:rPr>
                            <w:rFonts w:cs="Arial"/>
                            <w:sz w:val="24"/>
                            <w:szCs w:val="24"/>
                          </w:rPr>
                          <w:t>len predstavenstva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14:paraId="59E454E6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4A73" w:rsidRPr="00163C5E" w14:paraId="38A2C64B" w14:textId="77777777" w:rsidTr="00EF4A73">
                    <w:trPr>
                      <w:trHeight w:val="483"/>
                    </w:trPr>
                    <w:tc>
                      <w:tcPr>
                        <w:tcW w:w="1666" w:type="dxa"/>
                        <w:vMerge/>
                        <w:vAlign w:val="center"/>
                      </w:tcPr>
                      <w:p w14:paraId="55AD3D91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4" w:type="dxa"/>
                        <w:vAlign w:val="center"/>
                      </w:tcPr>
                      <w:p w14:paraId="721FC60E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163C5E">
                          <w:rPr>
                            <w:rStyle w:val="ra"/>
                            <w:rFonts w:cs="Arial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Ing. </w:t>
                        </w:r>
                        <w:hyperlink r:id="rId10" w:history="1">
                          <w:r w:rsidRPr="00163C5E">
                            <w:rPr>
                              <w:rStyle w:val="ra"/>
                              <w:rFonts w:cs="Arial"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Pavel Rudy</w:t>
                          </w:r>
                        </w:hyperlink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14:paraId="47FDF3E2" w14:textId="77777777" w:rsidR="00EF4A73" w:rsidRPr="00163C5E" w:rsidRDefault="00EF4A73" w:rsidP="00EF4A73">
                        <w:pPr>
                          <w:spacing w:line="276" w:lineRule="auto"/>
                          <w:jc w:val="center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>č</w:t>
                        </w:r>
                        <w:r w:rsidRPr="00163C5E">
                          <w:rPr>
                            <w:rFonts w:cs="Arial"/>
                            <w:sz w:val="24"/>
                            <w:szCs w:val="24"/>
                          </w:rPr>
                          <w:t>len predstavenstva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14:paraId="7481F50C" w14:textId="77777777" w:rsidR="00EF4A73" w:rsidRPr="00163C5E" w:rsidRDefault="00EF4A73" w:rsidP="00EF4A73">
                        <w:pPr>
                          <w:spacing w:line="276" w:lineRule="auto"/>
                          <w:jc w:val="both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59D16A" w14:textId="378E64F7" w:rsidR="007C168A" w:rsidRPr="00F83964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4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gridSpan w:val="2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</w:t>
      </w:r>
      <w:proofErr w:type="spellStart"/>
      <w:r w:rsidRPr="00F83964">
        <w:rPr>
          <w:rFonts w:ascii="Arial" w:hAnsi="Arial" w:cs="Arial"/>
          <w:b/>
          <w:bCs/>
        </w:rPr>
        <w:t>CHLaZ</w:t>
      </w:r>
      <w:proofErr w:type="spellEnd"/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proofErr w:type="spellStart"/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proofErr w:type="spellEnd"/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</w:t>
      </w:r>
      <w:proofErr w:type="spellStart"/>
      <w:r w:rsidR="00087FF7" w:rsidRPr="00F83964">
        <w:rPr>
          <w:rFonts w:ascii="Arial" w:hAnsi="Arial" w:cs="Arial"/>
        </w:rPr>
        <w:t>CHLaZ</w:t>
      </w:r>
      <w:proofErr w:type="spellEnd"/>
      <w:r w:rsidR="00087FF7" w:rsidRPr="00F83964">
        <w:rPr>
          <w:rFonts w:ascii="Arial" w:hAnsi="Arial" w:cs="Arial"/>
        </w:rPr>
        <w:t xml:space="preserve">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sú zamestnanci povinní používať iba predpísané a vhodné OOPP, pri manipulácii a skladovaní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CHLaZ</w:t>
      </w:r>
      <w:proofErr w:type="spellEnd"/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 xml:space="preserve">relievať do neoriginálnych nádob určených najmä na potravinárske účely (napr. PET fľaše od nealkoholických nápojov), kde by mohlo dôjsť k zámene a nechcenému požitiu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>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skladovať nebezpečné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</w:t>
      </w:r>
      <w:proofErr w:type="spellStart"/>
      <w:r w:rsidRPr="00F83964">
        <w:rPr>
          <w:rFonts w:ascii="Arial" w:hAnsi="Arial" w:cs="Arial"/>
        </w:rPr>
        <w:t>CHLaZ</w:t>
      </w:r>
      <w:proofErr w:type="spellEnd"/>
      <w:r w:rsidRPr="00F83964">
        <w:rPr>
          <w:rFonts w:ascii="Arial" w:hAnsi="Arial" w:cs="Arial"/>
        </w:rPr>
        <w:t xml:space="preserve">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proofErr w:type="spellStart"/>
      <w:r w:rsidR="00A407B5">
        <w:rPr>
          <w:rFonts w:ascii="Arial" w:hAnsi="Arial" w:cs="Arial"/>
          <w:b/>
          <w:bCs/>
        </w:rPr>
        <w:t>CHLaZ</w:t>
      </w:r>
      <w:proofErr w:type="spellEnd"/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F83964">
        <w:rPr>
          <w:rFonts w:ascii="Arial" w:hAnsi="Arial" w:cs="Arial"/>
        </w:rPr>
        <w:t>Mutagenita</w:t>
      </w:r>
      <w:proofErr w:type="spellEnd"/>
      <w:r w:rsidRPr="00F83964">
        <w:rPr>
          <w:rFonts w:ascii="Arial" w:hAnsi="Arial" w:cs="Arial"/>
        </w:rPr>
        <w:t xml:space="preserve">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</w:t>
      </w:r>
      <w:proofErr w:type="spellStart"/>
      <w:r w:rsidRPr="00F83964">
        <w:rPr>
          <w:rFonts w:ascii="Arial" w:hAnsi="Arial" w:cs="Arial"/>
        </w:rPr>
        <w:t>rozbrusovacie</w:t>
      </w:r>
      <w:proofErr w:type="spellEnd"/>
      <w:r w:rsidRPr="00F83964">
        <w:rPr>
          <w:rFonts w:ascii="Arial" w:hAnsi="Arial" w:cs="Arial"/>
        </w:rPr>
        <w:t xml:space="preserve">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</w:t>
      </w:r>
      <w:proofErr w:type="spellStart"/>
      <w:r w:rsidRPr="00F83964">
        <w:rPr>
          <w:rFonts w:ascii="Arial" w:hAnsi="Arial" w:cs="Arial"/>
        </w:rPr>
        <w:t>Z.z</w:t>
      </w:r>
      <w:proofErr w:type="spellEnd"/>
      <w:r w:rsidRPr="00F83964">
        <w:rPr>
          <w:rFonts w:ascii="Arial" w:hAnsi="Arial" w:cs="Arial"/>
        </w:rPr>
        <w:t>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77777777" w:rsidR="00D57EAF" w:rsidRPr="00F83964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lastRenderedPageBreak/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1D09D10" w:rsidR="002F1F65" w:rsidRDefault="002F1F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263BD6" w14:textId="77777777" w:rsidR="004A7F78" w:rsidRPr="00F83964" w:rsidRDefault="004A7F78" w:rsidP="00AE5A8F">
      <w:pPr>
        <w:spacing w:line="276" w:lineRule="auto"/>
        <w:rPr>
          <w:rFonts w:ascii="Arial" w:hAnsi="Arial" w:cs="Arial"/>
        </w:rPr>
      </w:pPr>
    </w:p>
    <w:p w14:paraId="3CB67E32" w14:textId="77777777" w:rsidR="00F83964" w:rsidRPr="00461428" w:rsidRDefault="00F83964" w:rsidP="00AE5A8F">
      <w:pPr>
        <w:spacing w:line="276" w:lineRule="auto"/>
        <w:jc w:val="center"/>
        <w:rPr>
          <w:rFonts w:ascii="Arial" w:hAnsi="Arial" w:cs="Arial"/>
          <w:b/>
          <w:bCs/>
        </w:rPr>
      </w:pPr>
      <w:r w:rsidRPr="00461428">
        <w:rPr>
          <w:rFonts w:ascii="Arial" w:hAnsi="Arial" w:cs="Arial"/>
          <w:b/>
          <w:bCs/>
        </w:rPr>
        <w:t>OBOZNÁMENIE S DOKUMENTOM</w:t>
      </w:r>
    </w:p>
    <w:p w14:paraId="401422A6" w14:textId="7A57B4B5" w:rsidR="00F83964" w:rsidRPr="00F83964" w:rsidRDefault="00F83964" w:rsidP="00162805">
      <w:pPr>
        <w:spacing w:before="120"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Svojím podpisom potvrdzujem, že som bol</w:t>
      </w:r>
      <w:r w:rsidR="00C66D7F">
        <w:rPr>
          <w:rFonts w:ascii="Arial" w:hAnsi="Arial" w:cs="Arial"/>
        </w:rPr>
        <w:t xml:space="preserve">/ </w:t>
      </w:r>
      <w:r w:rsidRPr="00F83964">
        <w:rPr>
          <w:rFonts w:ascii="Arial" w:hAnsi="Arial" w:cs="Arial"/>
        </w:rPr>
        <w:t>bola oboznámený</w:t>
      </w:r>
      <w:r w:rsidR="00C66D7F">
        <w:rPr>
          <w:rFonts w:ascii="Arial" w:hAnsi="Arial" w:cs="Arial"/>
        </w:rPr>
        <w:t xml:space="preserve">/ </w:t>
      </w:r>
      <w:r w:rsidRPr="00F83964">
        <w:rPr>
          <w:rFonts w:ascii="Arial" w:hAnsi="Arial" w:cs="Arial"/>
        </w:rPr>
        <w:t>oboznámená s  uvedeným dokumentom.</w:t>
      </w:r>
    </w:p>
    <w:p w14:paraId="7C675D63" w14:textId="5F62371F" w:rsidR="00F83964" w:rsidRPr="00F83964" w:rsidRDefault="00F83964" w:rsidP="00162805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Názov dokumentu: Príloha č. 1 –  Zásady práce a správania sa zamestnancov </w:t>
      </w:r>
      <w:r w:rsidR="00C57501">
        <w:rPr>
          <w:rFonts w:ascii="Arial" w:hAnsi="Arial" w:cs="Arial"/>
        </w:rPr>
        <w:t>dodávateľa/odberateľa</w:t>
      </w:r>
    </w:p>
    <w:p w14:paraId="0D80D3E5" w14:textId="5577E30B" w:rsidR="00F83964" w:rsidRPr="00F83964" w:rsidRDefault="00F83964" w:rsidP="00162805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Číslo dokumen</w:t>
      </w:r>
      <w:r>
        <w:rPr>
          <w:rFonts w:ascii="Arial" w:hAnsi="Arial" w:cs="Arial"/>
        </w:rPr>
        <w:t>tu:</w:t>
      </w:r>
      <w:r w:rsidRPr="00F83964">
        <w:rPr>
          <w:rFonts w:ascii="Arial" w:hAnsi="Arial" w:cs="Arial"/>
        </w:rPr>
        <w:t xml:space="preserve">  </w:t>
      </w:r>
      <w:r w:rsidRPr="00F83964">
        <w:rPr>
          <w:rFonts w:ascii="Arial" w:hAnsi="Arial" w:cs="Arial"/>
          <w:color w:val="000000"/>
        </w:rPr>
        <w:t>Príloha č. 1 k ZVN ZVN-2-HSE-2021</w:t>
      </w:r>
    </w:p>
    <w:p w14:paraId="4D44D3D1" w14:textId="1C3BC9B9" w:rsidR="004A7F78" w:rsidRPr="00F83964" w:rsidRDefault="004A7F78" w:rsidP="00AE5A8F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6"/>
        <w:gridCol w:w="2947"/>
        <w:gridCol w:w="2268"/>
        <w:gridCol w:w="1843"/>
      </w:tblGrid>
      <w:tr w:rsidR="000846D9" w:rsidRPr="00F83964" w14:paraId="2A849675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shd w:val="pct20" w:color="auto" w:fill="auto"/>
          </w:tcPr>
          <w:p w14:paraId="647EE44C" w14:textId="77777777" w:rsidR="000846D9" w:rsidRPr="00F83964" w:rsidRDefault="000846D9" w:rsidP="00AE5A8F">
            <w:pPr>
              <w:spacing w:line="276" w:lineRule="auto"/>
              <w:ind w:left="48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Dátum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73091C9C" w14:textId="77777777" w:rsidR="000846D9" w:rsidRPr="00F83964" w:rsidRDefault="000846D9" w:rsidP="00AE5A8F">
            <w:pPr>
              <w:spacing w:line="276" w:lineRule="auto"/>
              <w:ind w:left="102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Meno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3F9B872E" w14:textId="4E2A4406" w:rsidR="000846D9" w:rsidRPr="00F83964" w:rsidRDefault="000846D9" w:rsidP="00AE5A8F">
            <w:pPr>
              <w:spacing w:line="276" w:lineRule="auto"/>
              <w:ind w:left="80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Spoločnosť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14:paraId="5C32F8ED" w14:textId="77777777" w:rsidR="000846D9" w:rsidRPr="00F83964" w:rsidRDefault="000846D9" w:rsidP="00AE5A8F">
            <w:pPr>
              <w:spacing w:line="276" w:lineRule="auto"/>
              <w:ind w:left="190"/>
              <w:jc w:val="center"/>
              <w:rPr>
                <w:rFonts w:ascii="Arial" w:hAnsi="Arial" w:cs="Arial"/>
                <w:color w:val="000000"/>
              </w:rPr>
            </w:pPr>
            <w:r w:rsidRPr="00F83964">
              <w:rPr>
                <w:rFonts w:ascii="Arial" w:hAnsi="Arial" w:cs="Arial"/>
                <w:color w:val="000000"/>
              </w:rPr>
              <w:t>Podpis</w:t>
            </w:r>
          </w:p>
        </w:tc>
      </w:tr>
      <w:tr w:rsidR="000846D9" w:rsidRPr="00F83964" w14:paraId="21734FB8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8CD1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AD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14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D19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11E29735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C612B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049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11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0A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5FC14B1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CF759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EC1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0E7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004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809247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B27CC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AEA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88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1F5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71DE007D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C83EA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1FB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1B3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416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ECA90D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C5A03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A70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051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995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7337D90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2DB2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1B3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FCA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945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A1EB5CC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64BA6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F67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6F7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78C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7C3F9F3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3139D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A1B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63D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798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386BD11B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58D67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52E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309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4AD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89B730E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1B8B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68B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610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FC8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4D6BCF91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99C50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F7A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B8C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F6C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C08E673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6D74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897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848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D8D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8B24FDB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7DB4C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F87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62E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1C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6185F70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AE5D0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830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86EE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253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5CAA86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61EDA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148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4D31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A960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524B50DD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AA8FA4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70D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E3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521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BA28C12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6A0893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C486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0958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DD0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CF0684A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4544B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59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437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E9C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68524B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DD8F0F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2AC9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3012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9F5A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846D9" w:rsidRPr="00F83964" w14:paraId="06D2ADA4" w14:textId="77777777" w:rsidTr="000846D9">
        <w:trPr>
          <w:trHeight w:val="298"/>
          <w:jc w:val="center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DDBB2C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6027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717D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25E5" w14:textId="77777777" w:rsidR="000846D9" w:rsidRPr="00F83964" w:rsidRDefault="000846D9" w:rsidP="00AE5A8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037A894" w14:textId="77777777" w:rsidR="004A7F78" w:rsidRPr="00F83964" w:rsidRDefault="004A7F78" w:rsidP="00AE5A8F">
      <w:pPr>
        <w:pStyle w:val="Odsekzoznamu"/>
        <w:spacing w:line="276" w:lineRule="auto"/>
        <w:rPr>
          <w:rFonts w:ascii="Arial" w:hAnsi="Arial" w:cs="Arial"/>
        </w:rPr>
      </w:pPr>
    </w:p>
    <w:sectPr w:rsidR="004A7F78" w:rsidRPr="00F839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9E993" w14:textId="77777777" w:rsidR="002D5F9A" w:rsidRDefault="002D5F9A" w:rsidP="00056682">
      <w:pPr>
        <w:spacing w:after="0" w:line="240" w:lineRule="auto"/>
      </w:pPr>
      <w:r>
        <w:separator/>
      </w:r>
    </w:p>
  </w:endnote>
  <w:endnote w:type="continuationSeparator" w:id="0">
    <w:p w14:paraId="1A1BFAD3" w14:textId="77777777" w:rsidR="002D5F9A" w:rsidRDefault="002D5F9A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74AE7" w14:textId="77777777" w:rsidR="002D5F9A" w:rsidRDefault="002D5F9A" w:rsidP="00056682">
      <w:pPr>
        <w:spacing w:after="0" w:line="240" w:lineRule="auto"/>
      </w:pPr>
      <w:r>
        <w:separator/>
      </w:r>
    </w:p>
  </w:footnote>
  <w:footnote w:type="continuationSeparator" w:id="0">
    <w:p w14:paraId="02E810BF" w14:textId="77777777" w:rsidR="002D5F9A" w:rsidRDefault="002D5F9A" w:rsidP="0005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"/>
  </w:num>
  <w:num w:numId="5">
    <w:abstractNumId w:val="20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7F4A"/>
    <w:rsid w:val="008C340B"/>
    <w:rsid w:val="008D1B33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38F0"/>
    <w:rsid w:val="00B53FBD"/>
    <w:rsid w:val="00B57EFE"/>
    <w:rsid w:val="00B62097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270A"/>
    <w:rsid w:val="00E11014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3F79"/>
    <w:rsid w:val="00F142B0"/>
    <w:rsid w:val="00F23131"/>
    <w:rsid w:val="00F26340"/>
    <w:rsid w:val="00F269E0"/>
    <w:rsid w:val="00F37192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rsr.sk/hladaj_osoba.asp?PR=Rudy&amp;MENO=Pavel&amp;SID=0&amp;T=f0&amp;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Rutkovsk%FD&amp;MENO=Andrej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Rothbergová Anna</cp:lastModifiedBy>
  <cp:revision>13</cp:revision>
  <dcterms:created xsi:type="dcterms:W3CDTF">2021-03-31T10:00:00Z</dcterms:created>
  <dcterms:modified xsi:type="dcterms:W3CDTF">2021-04-08T14:05:00Z</dcterms:modified>
</cp:coreProperties>
</file>