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231E" w14:textId="77777777" w:rsidR="00952B00" w:rsidRPr="003C1A6E" w:rsidRDefault="00952B00" w:rsidP="00952B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        </w:t>
      </w:r>
      <w:r w:rsidRPr="00D12E66">
        <w:rPr>
          <w:b/>
          <w:bCs/>
        </w:rPr>
        <w:t>/2021</w:t>
      </w:r>
      <w:r>
        <w:rPr>
          <w:b/>
          <w:bCs/>
        </w:rPr>
        <w:t xml:space="preserve"> </w:t>
      </w:r>
    </w:p>
    <w:p w14:paraId="021F0D1E" w14:textId="77777777" w:rsidR="00952B00" w:rsidRDefault="00952B00" w:rsidP="00952B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536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</w:p>
    <w:p w14:paraId="7C46FBDB" w14:textId="77777777" w:rsidR="00952B00" w:rsidRPr="00DA292F" w:rsidRDefault="00952B00" w:rsidP="00952B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(ďalej len „</w:t>
      </w:r>
      <w:r w:rsidRPr="00590619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>“)</w:t>
      </w:r>
      <w:r w:rsidRPr="475ACB03">
        <w:rPr>
          <w:sz w:val="18"/>
          <w:szCs w:val="18"/>
        </w:rPr>
        <w:t xml:space="preserve"> medzi zmluvnými stranami:</w:t>
      </w:r>
    </w:p>
    <w:p w14:paraId="4A38F719" w14:textId="77777777" w:rsidR="00952B00" w:rsidRPr="00281ED6" w:rsidRDefault="00952B00" w:rsidP="00952B0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52B00" w14:paraId="049D1941" w14:textId="77777777" w:rsidTr="009B635A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66C5247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763644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DE9394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0AD05AC1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52B00" w14:paraId="1D600776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E5368D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66A76E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952B00" w14:paraId="7C71147F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80AEC4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617DC7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52B00" w14:paraId="0A04668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2C3B7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0F2B486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952B00" w14:paraId="18F166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5DE077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1D0F91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952B00" w14:paraId="6308908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FEFCFC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E03CE2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952B00" w14:paraId="193B2AC2" w14:textId="77777777" w:rsidTr="009B635A">
        <w:trPr>
          <w:trHeight w:val="183"/>
        </w:trPr>
        <w:tc>
          <w:tcPr>
            <w:tcW w:w="1696" w:type="dxa"/>
            <w:shd w:val="clear" w:color="auto" w:fill="D9D9D9" w:themeFill="background1" w:themeFillShade="D9"/>
          </w:tcPr>
          <w:p w14:paraId="5A9E37A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2C9F7F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952B00" w14:paraId="59E3FA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DE40E6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109393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952B00" w14:paraId="521B0E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07F13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3DBE8C59" w14:textId="4D8BD48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A1FEE7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30221E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3DB9640" w14:textId="086607AF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5295D6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60D181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F60F1CF" w14:textId="4D416B9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EF20687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p w14:paraId="45F11A0C" w14:textId="77777777" w:rsidR="00952B00" w:rsidRPr="003C1A6E" w:rsidRDefault="00952B00" w:rsidP="00952B0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D811041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52B00" w14:paraId="62F35B81" w14:textId="77777777" w:rsidTr="009B635A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6B597BE8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453D860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D0A572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0BF4819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52B00" w14:paraId="6307ED0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44B950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2A22F9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6A15D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21DCC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C3F62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27D13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786E3E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CE1837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2DF34455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35BE9EA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382992D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BE4B49D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8913EE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7261AF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30B5B5E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FF1F129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4FBD6AC4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E59DCD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60F0F9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AD5FD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59AA71A9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8796338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3E029A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864146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AD74E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0EFBE4B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696E65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326F35AB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F6AA5FA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B2F24C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6AA3195F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0E113000" w14:textId="77777777" w:rsidR="00952B00" w:rsidRDefault="00952B00" w:rsidP="00952B0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46B255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5D84ADC2" w14:textId="77777777" w:rsidR="00952B00" w:rsidRDefault="00952B00" w:rsidP="00952B0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60AD0EE" w14:textId="77777777" w:rsidR="00952B00" w:rsidRPr="00B6537D" w:rsidRDefault="00952B00" w:rsidP="00952B00">
      <w:pPr>
        <w:pStyle w:val="Default"/>
        <w:jc w:val="center"/>
        <w:rPr>
          <w:b/>
          <w:bCs/>
          <w:sz w:val="10"/>
          <w:szCs w:val="10"/>
        </w:rPr>
      </w:pPr>
    </w:p>
    <w:p w14:paraId="27FE120E" w14:textId="77777777" w:rsidR="00952B00" w:rsidRPr="00DF6E34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59076386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952B00" w14:paraId="12856306" w14:textId="77777777" w:rsidTr="009B635A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B81ED9D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952B00" w14:paraId="1B8EBFC1" w14:textId="77777777" w:rsidTr="009B635A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7A87E46E" w14:textId="77777777" w:rsidR="0050707F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na základe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názvom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320BAF" w:rsidRPr="00320B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nadstavieb nákladných motorových vozidiel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B00">
              <w:rPr>
                <w:rFonts w:ascii="Arial" w:hAnsi="Arial" w:cs="Arial"/>
                <w:sz w:val="18"/>
                <w:szCs w:val="18"/>
              </w:rPr>
              <w:t>Uvedená zákazka sa skladá z </w:t>
            </w:r>
            <w:r>
              <w:rPr>
                <w:rFonts w:ascii="Arial" w:hAnsi="Arial" w:cs="Arial"/>
                <w:sz w:val="18"/>
                <w:szCs w:val="18"/>
              </w:rPr>
              <w:t>troch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) častí, a to </w:t>
            </w:r>
            <w:r w:rsidRPr="00320BAF">
              <w:rPr>
                <w:rFonts w:ascii="Arial" w:hAnsi="Arial" w:cs="Arial"/>
                <w:b/>
                <w:bCs/>
                <w:sz w:val="18"/>
                <w:szCs w:val="18"/>
              </w:rPr>
              <w:t>(i)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Servis špeciálnych nadstavieb nákladných motorových vozidiel vrátane vykonania odbornej skúšky a vyhotovenia príslušných dokladov a dodanie náhradných dielov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0BAF">
              <w:rPr>
                <w:rFonts w:ascii="Arial" w:hAnsi="Arial" w:cs="Arial"/>
                <w:b/>
                <w:bCs/>
                <w:sz w:val="18"/>
                <w:szCs w:val="18"/>
              </w:rPr>
              <w:t>(ii)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Servis nadstavieb služobných nákladných motorových vozidiel FAUN vrátane dodania náhradných dielov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0707F">
              <w:rPr>
                <w:rFonts w:ascii="Arial" w:hAnsi="Arial" w:cs="Arial"/>
                <w:b/>
                <w:bCs/>
                <w:sz w:val="18"/>
                <w:szCs w:val="18"/>
              </w:rPr>
              <w:t>(iii)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Servis nadstavieb služobných nákladných motorových vozidiel GEESINK, ROSSI, KOBIT vrátane dodania náhradných dielov. </w:t>
            </w:r>
          </w:p>
          <w:p w14:paraId="78CCD1DD" w14:textId="77777777" w:rsidR="0050707F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00">
              <w:rPr>
                <w:rFonts w:ascii="Arial" w:hAnsi="Arial" w:cs="Arial"/>
                <w:sz w:val="18"/>
                <w:szCs w:val="18"/>
              </w:rPr>
              <w:t>Podrobný popis jednotlivých častí zákazky je uvedený v Prílohe č. 1 - Technická špecifikácia, ktorá je neoddeliteľnou časťou tejto Zmluvy (ďalej len „</w:t>
            </w:r>
            <w:r w:rsidRPr="00952B00">
              <w:rPr>
                <w:rFonts w:ascii="Arial" w:hAnsi="Arial" w:cs="Arial"/>
                <w:b/>
                <w:bCs/>
                <w:sz w:val="18"/>
                <w:szCs w:val="18"/>
              </w:rPr>
              <w:t>Príloha č.1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7FB40F21" w14:textId="4A534D64" w:rsidR="00952B00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00">
              <w:rPr>
                <w:rFonts w:ascii="Arial" w:hAnsi="Arial" w:cs="Arial"/>
                <w:sz w:val="18"/>
                <w:szCs w:val="18"/>
              </w:rPr>
              <w:t xml:space="preserve">Zhotoviteľ je povinný dodať časť </w:t>
            </w:r>
            <w:r w:rsidRPr="0050707F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danej zákazky, v ktorej sa stal úspešným uchádzačom. </w:t>
            </w:r>
          </w:p>
          <w:p w14:paraId="7CD89310" w14:textId="77777777" w:rsidR="00952B00" w:rsidRPr="00197738" w:rsidRDefault="00952B00" w:rsidP="00952B0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B00" w14:paraId="2F37BC92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E5F1B2A" w14:textId="77777777" w:rsidR="00952B00" w:rsidRPr="0019773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31A2021C" w14:textId="118FAA94" w:rsidR="00952B00" w:rsidRPr="00DA0DE3" w:rsidRDefault="00D368AA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952B00" w14:paraId="0DDFF81D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84A030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1A641E02" w14:textId="77777777" w:rsidR="00952B00" w:rsidRPr="00DA0DE3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07F">
              <w:rPr>
                <w:rFonts w:ascii="Arial" w:hAnsi="Arial" w:cs="Arial"/>
                <w:sz w:val="18"/>
                <w:szCs w:val="18"/>
                <w:highlight w:val="yellow"/>
              </w:rPr>
              <w:t>[Doplní zhotoviteľ]</w:t>
            </w:r>
          </w:p>
        </w:tc>
      </w:tr>
      <w:tr w:rsidR="00952B00" w14:paraId="631E2850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43E2BA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401D8B92" w14:textId="77777777" w:rsidR="00952B00" w:rsidRPr="00B6537D" w:rsidRDefault="00952B00" w:rsidP="009B635A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[Uvedená v prílohe č.2 Cena]</w:t>
            </w:r>
          </w:p>
        </w:tc>
        <w:tc>
          <w:tcPr>
            <w:tcW w:w="1024" w:type="dxa"/>
            <w:tcBorders>
              <w:left w:val="nil"/>
            </w:tcBorders>
          </w:tcPr>
          <w:p w14:paraId="48803B14" w14:textId="77777777" w:rsidR="00952B00" w:rsidRPr="00B6537D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673C56" w14:textId="77777777" w:rsidR="00952B00" w:rsidRPr="00602C58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6582B9C8" w14:textId="74EEDADE" w:rsidR="00952B00" w:rsidRPr="00602C58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7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7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FD6C2B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132B5EB4" w14:textId="77777777" w:rsidR="00952B00" w:rsidRPr="009F53DA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01DCD1E5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52B00" w14:paraId="6E54CE4D" w14:textId="77777777" w:rsidTr="009B635A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F6D0201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3F2A29A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2B00" w14:paraId="03C9CB42" w14:textId="77777777" w:rsidTr="009B635A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67B507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52B00" w14:paraId="329131E5" w14:textId="77777777" w:rsidTr="009B635A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6F874C0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CE3CA" w14:textId="77777777" w:rsidR="00952B00" w:rsidRDefault="00952B00" w:rsidP="00952B00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917">
              <w:rPr>
                <w:rFonts w:ascii="Arial" w:hAnsi="Arial" w:cs="Arial"/>
                <w:sz w:val="18"/>
                <w:szCs w:val="18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>
              <w:rPr>
                <w:rFonts w:ascii="Arial" w:hAnsi="Arial" w:cs="Arial"/>
                <w:sz w:val="18"/>
                <w:szCs w:val="18"/>
              </w:rPr>
              <w:t xml:space="preserve"> Zmluvné strany sa dohodli, že vzhľadom na charakter tejto zmluvy osobitné ustanovenia o vykonaní diela podľa čl. IX VOP sa použijú v primeranom rozsahu.</w:t>
            </w:r>
          </w:p>
          <w:p w14:paraId="7D385890" w14:textId="0144402B" w:rsidR="00252E52" w:rsidRPr="00252E52" w:rsidRDefault="00252E52" w:rsidP="00252E52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Zhotoviteľ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je povinný 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>v čase podpisu tejto zmluvy m</w:t>
            </w:r>
            <w:r w:rsidR="0050707F">
              <w:rPr>
                <w:rFonts w:ascii="Arial" w:hAnsi="Arial" w:cs="Arial"/>
                <w:sz w:val="18"/>
                <w:szCs w:val="18"/>
              </w:rPr>
              <w:t>ať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platne uzatvorenú poistnú zmluvu na poistenie zodpovednosti za škodu spôsobenú pri výkone </w:t>
            </w:r>
            <w:r w:rsidR="0050707F">
              <w:rPr>
                <w:rFonts w:ascii="Arial" w:hAnsi="Arial" w:cs="Arial"/>
                <w:sz w:val="18"/>
                <w:szCs w:val="18"/>
              </w:rPr>
              <w:t>predmetu zmluvy za účelom krytia prípadnej straty a škody na nákladných motorových vozidlách prevzatých na plnenie predmetu zmluvy.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Zhotoviteľ vyhlasuje, že má ku dňu podpisu tejto zmluvy uzatvorené poistenie zodpovednosti za škodu s poisťovňou </w:t>
            </w:r>
            <w:r w:rsidRPr="00252E5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na poistnú sumu minimálne</w:t>
            </w:r>
            <w:r w:rsidR="001F3BDB">
              <w:rPr>
                <w:rFonts w:ascii="Arial" w:hAnsi="Arial" w:cs="Arial"/>
                <w:sz w:val="18"/>
                <w:szCs w:val="18"/>
              </w:rPr>
              <w:t xml:space="preserve"> vo výške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0 000,00 EUR </w:t>
            </w:r>
            <w:r w:rsidRPr="00252E52">
              <w:rPr>
                <w:rFonts w:ascii="Arial" w:hAnsi="Arial" w:cs="Arial"/>
                <w:i/>
                <w:iCs/>
                <w:sz w:val="18"/>
                <w:szCs w:val="18"/>
              </w:rPr>
              <w:t>(slovom: päťdesiattisíc eur)</w:t>
            </w:r>
            <w:r w:rsidRPr="00252E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D52FA1" w14:textId="75AA911F" w:rsidR="00952B00" w:rsidRPr="00197738" w:rsidRDefault="00952B00" w:rsidP="00252E52">
            <w:pPr>
              <w:pStyle w:val="Odsekzoznamu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3E215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C74E278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B210130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C378859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976861E" w14:textId="77777777" w:rsidR="00952B00" w:rsidRDefault="00952B00" w:rsidP="00952B00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303E0D2" w14:textId="77777777" w:rsidR="00952B00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  <w:r w:rsidRPr="00DD3F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6D4D3C5" w14:textId="77777777" w:rsidR="00952B00" w:rsidRPr="00DD3FA3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CD1397" w14:textId="010B6613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971">
        <w:rPr>
          <w:rFonts w:ascii="Arial" w:hAnsi="Arial" w:cs="Arial"/>
          <w:sz w:val="18"/>
          <w:szCs w:val="18"/>
        </w:rPr>
        <w:t>2.1</w:t>
      </w:r>
      <w:r w:rsidRPr="006B5971">
        <w:rPr>
          <w:rFonts w:ascii="Arial" w:hAnsi="Arial" w:cs="Arial"/>
          <w:sz w:val="18"/>
          <w:szCs w:val="18"/>
        </w:rPr>
        <w:tab/>
        <w:t xml:space="preserve">Táto zmluva sa uzatvára na dobu </w:t>
      </w:r>
      <w:r w:rsidR="00BA6134">
        <w:rPr>
          <w:rFonts w:ascii="Arial" w:hAnsi="Arial" w:cs="Arial"/>
          <w:sz w:val="18"/>
          <w:szCs w:val="18"/>
        </w:rPr>
        <w:t>dvanásť</w:t>
      </w:r>
      <w:r>
        <w:rPr>
          <w:rFonts w:ascii="Arial" w:hAnsi="Arial" w:cs="Arial"/>
          <w:sz w:val="18"/>
          <w:szCs w:val="18"/>
        </w:rPr>
        <w:t xml:space="preserve"> (</w:t>
      </w:r>
      <w:r w:rsidR="00BA6134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)</w:t>
      </w:r>
      <w:r w:rsidRPr="006B5971">
        <w:rPr>
          <w:rFonts w:ascii="Arial" w:hAnsi="Arial" w:cs="Arial"/>
          <w:sz w:val="18"/>
          <w:szCs w:val="18"/>
        </w:rPr>
        <w:t xml:space="preserve"> mesiacov odo dňa účinnosti tejto zmluvy alebo do vyčerpania stanoveného finančného limitu v </w:t>
      </w:r>
      <w:r w:rsidRPr="00EF3718">
        <w:rPr>
          <w:rFonts w:ascii="Arial" w:hAnsi="Arial" w:cs="Arial"/>
          <w:sz w:val="18"/>
          <w:szCs w:val="18"/>
        </w:rPr>
        <w:t xml:space="preserve">rozsahu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EF3718">
        <w:rPr>
          <w:rFonts w:ascii="Arial" w:hAnsi="Arial" w:cs="Arial"/>
          <w:sz w:val="18"/>
          <w:szCs w:val="18"/>
        </w:rPr>
        <w:t xml:space="preserve"> EUR</w:t>
      </w:r>
      <w:r w:rsidRPr="006B5971">
        <w:rPr>
          <w:rFonts w:ascii="Arial" w:hAnsi="Arial" w:cs="Arial"/>
          <w:sz w:val="18"/>
          <w:szCs w:val="18"/>
        </w:rPr>
        <w:t xml:space="preserve"> (slovom: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6B5971">
        <w:rPr>
          <w:rFonts w:ascii="Arial" w:hAnsi="Arial" w:cs="Arial"/>
          <w:sz w:val="18"/>
          <w:szCs w:val="18"/>
        </w:rPr>
        <w:t xml:space="preserve"> eur) bez DPH podľa toho, ktorá skutočnosť nastane skôr</w:t>
      </w:r>
    </w:p>
    <w:p w14:paraId="1F757EC5" w14:textId="77777777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98D0927" w14:textId="77777777" w:rsidR="00952B00" w:rsidRDefault="00952B00" w:rsidP="00952B00">
      <w:pPr>
        <w:pStyle w:val="Default"/>
        <w:ind w:lef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III.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servisné práce</w:t>
      </w:r>
    </w:p>
    <w:p w14:paraId="32A52936" w14:textId="77777777" w:rsidR="00952B00" w:rsidRPr="00A76D20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052AC2D4" w14:textId="77777777" w:rsidR="00952B00" w:rsidRPr="00B758D6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480FA0F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7305F06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Popis, počet a rozsah servisných prehliadok vyplýva zo zmluvy alebo z technického manuálu, návodu alebo odporúčania výrobcu technologického zariadenia. </w:t>
      </w:r>
    </w:p>
    <w:p w14:paraId="45E3BEC3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00DF3C61">
        <w:rPr>
          <w:b/>
          <w:bCs/>
          <w:sz w:val="18"/>
          <w:szCs w:val="18"/>
        </w:rPr>
        <w:t xml:space="preserve"> </w:t>
      </w:r>
      <w:r w:rsidRPr="00DF3C61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4D1A0CB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7B65B192" w14:textId="77777777" w:rsidR="00952B00" w:rsidRPr="00FF7EA5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b/>
          <w:bCs/>
          <w:sz w:val="18"/>
          <w:szCs w:val="18"/>
        </w:rPr>
      </w:pPr>
      <w:r w:rsidRPr="00FF7EA5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00AF4361">
        <w:rPr>
          <w:b/>
          <w:bCs/>
          <w:sz w:val="18"/>
          <w:szCs w:val="18"/>
        </w:rPr>
        <w:t xml:space="preserve"> </w:t>
      </w:r>
    </w:p>
    <w:p w14:paraId="075A34FD" w14:textId="77777777" w:rsidR="00952B00" w:rsidRPr="00ED42AD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AAF86A2" w14:textId="77777777" w:rsidR="00952B00" w:rsidRPr="008308FF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CCBB96" w14:textId="77777777" w:rsidR="00952B00" w:rsidRPr="00545B75" w:rsidRDefault="00952B00" w:rsidP="00952B00">
      <w:pPr>
        <w:pStyle w:val="Default"/>
        <w:jc w:val="both"/>
        <w:rPr>
          <w:sz w:val="18"/>
          <w:szCs w:val="18"/>
        </w:rPr>
      </w:pPr>
    </w:p>
    <w:p w14:paraId="0B452EF4" w14:textId="77777777" w:rsidR="00952B00" w:rsidRPr="002F0E62" w:rsidRDefault="00952B00" w:rsidP="00952B0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82708B9" w14:textId="77777777" w:rsidR="00952B00" w:rsidRPr="00F37691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C86A95B" w14:textId="77777777" w:rsidR="00952B00" w:rsidRPr="008D32B8" w:rsidRDefault="00952B00" w:rsidP="00952B00">
      <w:pPr>
        <w:pStyle w:val="Odsekzoznamu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51BBD2F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403EC7">
        <w:rPr>
          <w:sz w:val="18"/>
          <w:szCs w:val="18"/>
        </w:rPr>
        <w:t>Z.z</w:t>
      </w:r>
      <w:proofErr w:type="spellEnd"/>
      <w:r w:rsidRPr="00403EC7">
        <w:rPr>
          <w:sz w:val="18"/>
          <w:szCs w:val="18"/>
        </w:rPr>
        <w:t xml:space="preserve">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4358599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4530A0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00B4D1BE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3DF0AA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EA8EEC8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1DD3787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1EA7EF1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B8C8B5B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9CAFF28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</w:t>
      </w:r>
      <w:r w:rsidRPr="475ACB03">
        <w:rPr>
          <w:sz w:val="18"/>
          <w:szCs w:val="18"/>
        </w:rPr>
        <w:lastRenderedPageBreak/>
        <w:t xml:space="preserve">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BAB829B" w14:textId="77777777" w:rsidR="00952B00" w:rsidRPr="008D32B8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4DBE20AA" w14:textId="77777777" w:rsidR="00952B00" w:rsidRPr="002D1858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52B00" w:rsidRPr="00DF6E34" w14:paraId="7356E313" w14:textId="77777777" w:rsidTr="009B635A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1F807FB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52B00" w:rsidRPr="00DF6E34" w14:paraId="314C71D9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7524743" w14:textId="77777777" w:rsidR="00952B00" w:rsidRPr="002D185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A84BCD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952B00" w:rsidRPr="00DF6E34" w14:paraId="0FB5E99B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A551FB6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EAE4C6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50CF9F26" w14:textId="77777777" w:rsidR="00952B00" w:rsidRDefault="00952B00" w:rsidP="00952B00">
      <w:pPr>
        <w:pStyle w:val="Default"/>
        <w:ind w:left="567"/>
        <w:jc w:val="both"/>
        <w:rPr>
          <w:sz w:val="18"/>
          <w:szCs w:val="18"/>
        </w:rPr>
      </w:pPr>
    </w:p>
    <w:p w14:paraId="4819455A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2"/>
    </w:p>
    <w:p w14:paraId="0C8671A7" w14:textId="77777777" w:rsidR="00952B00" w:rsidRPr="00281ED6" w:rsidRDefault="00952B00" w:rsidP="00952B0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1CC2D2FC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2B00" w14:paraId="7A28876E" w14:textId="77777777" w:rsidTr="009B635A">
        <w:tc>
          <w:tcPr>
            <w:tcW w:w="4814" w:type="dxa"/>
          </w:tcPr>
          <w:p w14:paraId="7924D3AD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4D994A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52B00" w14:paraId="55877080" w14:textId="77777777" w:rsidTr="009B635A">
        <w:tc>
          <w:tcPr>
            <w:tcW w:w="4814" w:type="dxa"/>
          </w:tcPr>
          <w:p w14:paraId="7FE09313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773384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900334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BC335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95BF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197BF4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0B5111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D5D63D7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2CC09B2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9CBC4B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05FC9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3979A5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9641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5251E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1DBD1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9EB62EE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563F4D5B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52B00" w14:paraId="5A21058F" w14:textId="77777777" w:rsidTr="009B635A">
        <w:tc>
          <w:tcPr>
            <w:tcW w:w="4814" w:type="dxa"/>
          </w:tcPr>
          <w:p w14:paraId="47F3D38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7245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09AA7E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6DE86E7" w14:textId="77777777" w:rsidR="00952B00" w:rsidRPr="00F97B37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7B37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31EA31AC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0080609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0630C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B58A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CD3FF3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BF2BBF1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FDF2647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ECC37C6" w14:textId="77777777" w:rsidR="00952B00" w:rsidRPr="00DF6E34" w:rsidRDefault="00952B00" w:rsidP="00952B00">
      <w:pPr>
        <w:rPr>
          <w:rFonts w:ascii="Arial" w:hAnsi="Arial" w:cs="Arial"/>
          <w:sz w:val="18"/>
          <w:szCs w:val="18"/>
        </w:rPr>
      </w:pPr>
    </w:p>
    <w:p w14:paraId="2B8499CC" w14:textId="77777777" w:rsidR="00952B00" w:rsidRDefault="00952B00" w:rsidP="00952B00"/>
    <w:p w14:paraId="1105D538" w14:textId="77777777" w:rsidR="009A5107" w:rsidRDefault="009A5107"/>
    <w:sectPr w:rsidR="009A5107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B3098"/>
    <w:multiLevelType w:val="hybridMultilevel"/>
    <w:tmpl w:val="1108AE00"/>
    <w:lvl w:ilvl="0" w:tplc="3106FB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683682"/>
    <w:multiLevelType w:val="multilevel"/>
    <w:tmpl w:val="C5329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764"/>
    <w:multiLevelType w:val="hybridMultilevel"/>
    <w:tmpl w:val="503C7D96"/>
    <w:lvl w:ilvl="0" w:tplc="5742D224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00"/>
    <w:rsid w:val="001368D7"/>
    <w:rsid w:val="001C3646"/>
    <w:rsid w:val="001F3BDB"/>
    <w:rsid w:val="00252E52"/>
    <w:rsid w:val="002C679D"/>
    <w:rsid w:val="00320BAF"/>
    <w:rsid w:val="003E758F"/>
    <w:rsid w:val="0050707F"/>
    <w:rsid w:val="00566565"/>
    <w:rsid w:val="00640524"/>
    <w:rsid w:val="006A0C9D"/>
    <w:rsid w:val="00952B00"/>
    <w:rsid w:val="00986A1B"/>
    <w:rsid w:val="009A5107"/>
    <w:rsid w:val="009A5DF4"/>
    <w:rsid w:val="00B95E97"/>
    <w:rsid w:val="00BA6134"/>
    <w:rsid w:val="00C10F97"/>
    <w:rsid w:val="00D368AA"/>
    <w:rsid w:val="00D968E8"/>
    <w:rsid w:val="00E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C03"/>
  <w15:chartTrackingRefBased/>
  <w15:docId w15:val="{F5C8EE43-961B-4354-AD96-83406587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2B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2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5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2B00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2B00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2B00"/>
  </w:style>
  <w:style w:type="character" w:styleId="Hypertextovprepojenie">
    <w:name w:val="Hyperlink"/>
    <w:basedOn w:val="Predvolenpsmoodseku"/>
    <w:uiPriority w:val="99"/>
    <w:semiHidden/>
    <w:unhideWhenUsed/>
    <w:rsid w:val="00952B0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07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70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70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0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2</cp:revision>
  <dcterms:created xsi:type="dcterms:W3CDTF">2021-10-28T07:05:00Z</dcterms:created>
  <dcterms:modified xsi:type="dcterms:W3CDTF">2021-10-28T07:05:00Z</dcterms:modified>
</cp:coreProperties>
</file>