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0FAE060F" w:rsidR="00560D7A" w:rsidRPr="009B2BFA" w:rsidRDefault="00560D7A" w:rsidP="00027580">
      <w:pPr>
        <w:numPr>
          <w:ilvl w:val="1"/>
          <w:numId w:val="4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r w:rsidR="00027580" w:rsidRPr="00027580">
        <w:rPr>
          <w:rFonts w:ascii="Times New Roman" w:hAnsi="Times New Roman" w:cs="Times New Roman"/>
          <w:color w:val="538135" w:themeColor="accent6" w:themeShade="BF"/>
        </w:rPr>
        <w:t>Pilotný CLOUD</w:t>
      </w:r>
      <w:bookmarkStart w:id="0" w:name="_GoBack"/>
      <w:bookmarkEnd w:id="0"/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09F8" w14:textId="77777777" w:rsidR="00934EC0" w:rsidRDefault="00934EC0" w:rsidP="00D603A0">
      <w:pPr>
        <w:spacing w:after="0" w:line="240" w:lineRule="auto"/>
      </w:pPr>
      <w:r>
        <w:separator/>
      </w:r>
    </w:p>
  </w:endnote>
  <w:endnote w:type="continuationSeparator" w:id="0">
    <w:p w14:paraId="609285FC" w14:textId="77777777" w:rsidR="00934EC0" w:rsidRDefault="00934EC0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2E0E96BE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027580">
          <w:rPr>
            <w:rFonts w:ascii="Times New Roman" w:hAnsi="Times New Roman" w:cs="Times New Roman"/>
            <w:noProof/>
            <w:sz w:val="18"/>
          </w:rPr>
          <w:t>3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6519" w14:textId="77777777" w:rsidR="00934EC0" w:rsidRDefault="00934EC0" w:rsidP="00D603A0">
      <w:pPr>
        <w:spacing w:after="0" w:line="240" w:lineRule="auto"/>
      </w:pPr>
      <w:r>
        <w:separator/>
      </w:r>
    </w:p>
  </w:footnote>
  <w:footnote w:type="continuationSeparator" w:id="0">
    <w:p w14:paraId="2287B67A" w14:textId="77777777" w:rsidR="00934EC0" w:rsidRDefault="00934EC0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12EC7"/>
    <w:rsid w:val="000173BF"/>
    <w:rsid w:val="00027580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5AF1"/>
    <w:rsid w:val="00682634"/>
    <w:rsid w:val="00690A2B"/>
    <w:rsid w:val="00696760"/>
    <w:rsid w:val="006B438A"/>
    <w:rsid w:val="006B4FC1"/>
    <w:rsid w:val="0070637F"/>
    <w:rsid w:val="00717055"/>
    <w:rsid w:val="00735A7B"/>
    <w:rsid w:val="0077439A"/>
    <w:rsid w:val="007B4774"/>
    <w:rsid w:val="007B5E4A"/>
    <w:rsid w:val="007E484E"/>
    <w:rsid w:val="00805872"/>
    <w:rsid w:val="008178FB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34EC0"/>
    <w:rsid w:val="00943052"/>
    <w:rsid w:val="00965D74"/>
    <w:rsid w:val="00995B2E"/>
    <w:rsid w:val="009B2BFA"/>
    <w:rsid w:val="009D2F9D"/>
    <w:rsid w:val="009D68C9"/>
    <w:rsid w:val="00A0756A"/>
    <w:rsid w:val="00A14A28"/>
    <w:rsid w:val="00A31AB3"/>
    <w:rsid w:val="00A32B43"/>
    <w:rsid w:val="00A62D78"/>
    <w:rsid w:val="00A75872"/>
    <w:rsid w:val="00A80133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2021-10-27T11:48:00Z</dcterms:modified>
</cp:coreProperties>
</file>