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35F82" w14:textId="059686C2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63C7FE3E" w:rsidR="005337B7" w:rsidRPr="00A57D71" w:rsidRDefault="00C857EA" w:rsidP="00C857EA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OZ </w:t>
            </w:r>
            <w:proofErr w:type="spellStart"/>
            <w:r>
              <w:rPr>
                <w:rFonts w:cs="Arial"/>
                <w:szCs w:val="20"/>
              </w:rPr>
              <w:t>Gmer</w:t>
            </w:r>
            <w:proofErr w:type="spellEnd"/>
            <w:r w:rsidR="002F4871" w:rsidRPr="00A57D71">
              <w:rPr>
                <w:rFonts w:cs="Arial"/>
                <w:szCs w:val="20"/>
              </w:rPr>
              <w:t xml:space="preserve"> 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A58DA49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Námestie slobody 2, 050 01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7ADC437B" w:rsidR="005337B7" w:rsidRPr="00A57D71" w:rsidRDefault="002F4871" w:rsidP="004371F5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 xml:space="preserve">Ing. </w:t>
            </w:r>
            <w:r w:rsidR="00CC5D80">
              <w:rPr>
                <w:rFonts w:cs="Arial"/>
                <w:szCs w:val="20"/>
              </w:rPr>
              <w:t>Peter Mixtaj – riaditeľ</w:t>
            </w:r>
            <w:r w:rsidRPr="00F968E6">
              <w:rPr>
                <w:rFonts w:cs="Arial"/>
                <w:szCs w:val="20"/>
              </w:rPr>
              <w:t xml:space="preserve"> </w:t>
            </w:r>
            <w:r w:rsidR="004371F5">
              <w:rPr>
                <w:rFonts w:cs="Arial"/>
                <w:szCs w:val="20"/>
              </w:rPr>
              <w:t>organizačnej zložky OZ Gemer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390CA80" w:rsidR="005337B7" w:rsidRPr="00A57D71" w:rsidRDefault="002F487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Cs w:val="20"/>
              </w:rPr>
              <w:t>Huľuková</w:t>
            </w:r>
            <w:proofErr w:type="spellEnd"/>
            <w:r>
              <w:rPr>
                <w:rFonts w:cs="Arial"/>
                <w:szCs w:val="20"/>
              </w:rPr>
              <w:t>, +421918 335 793, lucia.hulukova@lesy.sk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49A79094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CC5D80">
        <w:rPr>
          <w:rFonts w:ascii="Arial" w:hAnsi="Arial" w:cs="Arial"/>
          <w:sz w:val="20"/>
          <w:lang w:val="sk-SK"/>
        </w:rPr>
        <w:t>3</w:t>
      </w:r>
      <w:r w:rsidR="00C857EA">
        <w:rPr>
          <w:rFonts w:ascii="Arial" w:hAnsi="Arial" w:cs="Arial"/>
          <w:sz w:val="20"/>
          <w:lang w:val="sk-SK"/>
        </w:rPr>
        <w:t>1</w:t>
      </w:r>
      <w:r w:rsidR="00CC5D80">
        <w:rPr>
          <w:rFonts w:ascii="Arial" w:hAnsi="Arial" w:cs="Arial"/>
          <w:sz w:val="20"/>
          <w:lang w:val="sk-SK"/>
        </w:rPr>
        <w:t>.0</w:t>
      </w:r>
      <w:r w:rsidR="00C857EA">
        <w:rPr>
          <w:rFonts w:ascii="Arial" w:hAnsi="Arial" w:cs="Arial"/>
          <w:sz w:val="20"/>
          <w:lang w:val="sk-SK"/>
        </w:rPr>
        <w:t>8</w:t>
      </w:r>
      <w:r w:rsidR="00CC5D80">
        <w:rPr>
          <w:rFonts w:ascii="Arial" w:hAnsi="Arial" w:cs="Arial"/>
          <w:sz w:val="20"/>
          <w:lang w:val="sk-SK"/>
        </w:rPr>
        <w:t>.2022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A57D71">
        <w:rPr>
          <w:b/>
          <w:bCs/>
          <w:sz w:val="20"/>
          <w:szCs w:val="20"/>
        </w:rPr>
        <w:t>...............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2F4871">
        <w:rPr>
          <w:rFonts w:cs="Arial"/>
          <w:sz w:val="20"/>
          <w:szCs w:val="20"/>
          <w:highlight w:val="yellow"/>
        </w:rPr>
        <w:t>30</w:t>
      </w:r>
      <w:r w:rsidRPr="00A57D71">
        <w:rPr>
          <w:rFonts w:cs="Arial"/>
          <w:sz w:val="20"/>
          <w:szCs w:val="20"/>
        </w:rPr>
        <w:t xml:space="preserve"> dní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9AAF540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>Fakturačná adresa:</w:t>
      </w:r>
      <w:r w:rsidR="004371F5">
        <w:rPr>
          <w:rFonts w:cs="Arial"/>
          <w:sz w:val="20"/>
          <w:szCs w:val="20"/>
        </w:rPr>
        <w:t xml:space="preserve"> </w:t>
      </w:r>
      <w:r w:rsidR="004371F5" w:rsidRPr="004371F5">
        <w:rPr>
          <w:rFonts w:cs="Arial"/>
          <w:b/>
          <w:sz w:val="20"/>
          <w:szCs w:val="20"/>
        </w:rPr>
        <w:t>LESY</w:t>
      </w:r>
      <w:r w:rsidR="004371F5">
        <w:rPr>
          <w:rFonts w:cs="Arial"/>
          <w:sz w:val="20"/>
          <w:szCs w:val="20"/>
        </w:rPr>
        <w:t xml:space="preserve"> </w:t>
      </w:r>
      <w:r w:rsidR="004371F5" w:rsidRPr="004371F5">
        <w:rPr>
          <w:rFonts w:cs="Arial"/>
          <w:b/>
          <w:sz w:val="20"/>
          <w:szCs w:val="20"/>
        </w:rPr>
        <w:t>Slovenskej republiky</w:t>
      </w:r>
      <w:r w:rsidR="002F4871" w:rsidRPr="002479E3">
        <w:rPr>
          <w:rFonts w:cs="Arial"/>
          <w:b/>
          <w:sz w:val="20"/>
          <w:szCs w:val="20"/>
        </w:rPr>
        <w:t xml:space="preserve">, </w:t>
      </w:r>
      <w:r w:rsidR="004371F5">
        <w:rPr>
          <w:rFonts w:cs="Arial"/>
          <w:b/>
          <w:sz w:val="20"/>
          <w:szCs w:val="20"/>
        </w:rPr>
        <w:t xml:space="preserve">štátny podnik organizačná zložka Gemer, </w:t>
      </w:r>
      <w:r w:rsidR="002F4871" w:rsidRPr="002479E3">
        <w:rPr>
          <w:rFonts w:cs="Arial"/>
          <w:b/>
          <w:sz w:val="20"/>
          <w:szCs w:val="20"/>
        </w:rPr>
        <w:t>Námestie slobody 2, 050 01 Revúca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lastRenderedPageBreak/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36541569" w:rsidR="005337B7" w:rsidRPr="00A57D71" w:rsidRDefault="005337B7" w:rsidP="002F487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F4871">
              <w:rPr>
                <w:rFonts w:ascii="Arial" w:hAnsi="Arial" w:cs="Arial"/>
                <w:sz w:val="20"/>
                <w:lang w:val="sk-SK"/>
              </w:rPr>
              <w:t>Revúcej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1514"/>
        <w:gridCol w:w="4076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2F18D98A" w:rsidR="00F7419F" w:rsidRPr="00A57D71" w:rsidRDefault="002F4871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  <w:highlight w:val="yellow"/>
              </w:rPr>
            </w:pPr>
            <w:r>
              <w:rPr>
                <w:rFonts w:eastAsia="Calibri" w:cs="Arial"/>
                <w:b/>
                <w:szCs w:val="20"/>
                <w:highlight w:val="yellow"/>
              </w:rPr>
              <w:t xml:space="preserve">Ing. </w:t>
            </w:r>
            <w:r w:rsidR="004371F5">
              <w:rPr>
                <w:rFonts w:eastAsia="Calibri" w:cs="Arial"/>
                <w:b/>
                <w:szCs w:val="20"/>
                <w:highlight w:val="yellow"/>
              </w:rPr>
              <w:t>Peter Mixtaj</w:t>
            </w:r>
          </w:p>
          <w:p w14:paraId="74FA4C45" w14:textId="4DFEB96D" w:rsidR="005337B7" w:rsidRPr="00A57D71" w:rsidRDefault="00C857EA" w:rsidP="004371F5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riaditeľ O</w:t>
            </w:r>
            <w:r w:rsidR="004371F5">
              <w:rPr>
                <w:rFonts w:eastAsia="Calibri" w:cs="Arial"/>
                <w:szCs w:val="20"/>
              </w:rPr>
              <w:t>rganizačnej zložky OZ Gemer</w:t>
            </w:r>
            <w:r w:rsidR="00F7419F" w:rsidRPr="00A57D71">
              <w:rPr>
                <w:rFonts w:eastAsia="Calibri" w:cs="Arial"/>
                <w:szCs w:val="20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6C9E9B06" w:rsidR="00EC1C7F" w:rsidRPr="00DF63AB" w:rsidRDefault="00EC1C7F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C1C7F" w:rsidRPr="00DF63A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77AF9" w14:textId="77777777" w:rsidR="00546533" w:rsidRDefault="00546533">
      <w:r>
        <w:separator/>
      </w:r>
    </w:p>
  </w:endnote>
  <w:endnote w:type="continuationSeparator" w:id="0">
    <w:p w14:paraId="510C2A68" w14:textId="77777777" w:rsidR="00546533" w:rsidRDefault="0054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E20A23" w14:paraId="2D4E7A60" w14:textId="77777777" w:rsidTr="002917A0">
              <w:tc>
                <w:tcPr>
                  <w:tcW w:w="7650" w:type="dxa"/>
                </w:tcPr>
                <w:p w14:paraId="161303EA" w14:textId="6DC6DDEA" w:rsidR="00E20A23" w:rsidRDefault="00E20A23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6A7B824E" w:rsidR="00E20A23" w:rsidRDefault="00E20A2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857EA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857EA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E20A23" w:rsidRPr="002917A0" w:rsidRDefault="00546533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20A23" w:rsidRDefault="00E20A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20A23" w:rsidRDefault="00E20A2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BC126" w14:textId="77777777" w:rsidR="00546533" w:rsidRDefault="00546533">
      <w:r>
        <w:separator/>
      </w:r>
    </w:p>
  </w:footnote>
  <w:footnote w:type="continuationSeparator" w:id="0">
    <w:p w14:paraId="4E74F612" w14:textId="77777777" w:rsidR="00546533" w:rsidRDefault="00546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0A23" w14:paraId="14793BB4" w14:textId="77777777" w:rsidTr="007C3D49">
      <w:tc>
        <w:tcPr>
          <w:tcW w:w="1271" w:type="dxa"/>
        </w:tcPr>
        <w:p w14:paraId="22C3DFF4" w14:textId="2E53548F" w:rsidR="00E20A23" w:rsidRDefault="00E20A2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20A23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E20A23" w:rsidRPr="007C3D49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E20A23" w:rsidRDefault="00E20A23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E20A23" w:rsidRDefault="00E20A2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C86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7D1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43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871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0FE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1F5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4CE5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533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6A4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255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7E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5D80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0F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A23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8ACAA-4C01-46AE-9B94-2B1B0D05E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12914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Hulukova, Lucia</cp:lastModifiedBy>
  <cp:revision>8</cp:revision>
  <cp:lastPrinted>2021-02-11T12:57:00Z</cp:lastPrinted>
  <dcterms:created xsi:type="dcterms:W3CDTF">2021-02-11T13:12:00Z</dcterms:created>
  <dcterms:modified xsi:type="dcterms:W3CDTF">2022-02-11T13:01:00Z</dcterms:modified>
  <cp:category>EIZ</cp:category>
</cp:coreProperties>
</file>