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4A280C" w:rsidRDefault="00BB5BE4" w:rsidP="00BB5BE4">
      <w:pPr>
        <w:rPr>
          <w:rFonts w:ascii="Garamond" w:hAnsi="Garamond"/>
          <w:sz w:val="24"/>
          <w:szCs w:val="24"/>
        </w:rPr>
      </w:pPr>
    </w:p>
    <w:p w14:paraId="1BD3B7E8" w14:textId="77777777" w:rsidR="00BB5BE4" w:rsidRPr="004A280C" w:rsidRDefault="00BB5BE4" w:rsidP="00BB5BE4">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osobného postavenia:</w:t>
      </w:r>
    </w:p>
    <w:p w14:paraId="24430C76"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4A280C">
        <w:rPr>
          <w:rFonts w:ascii="Garamond" w:hAnsi="Garamond"/>
          <w:sz w:val="24"/>
          <w:szCs w:val="24"/>
        </w:rPr>
        <w:t>Z.z</w:t>
      </w:r>
      <w:proofErr w:type="spellEnd"/>
      <w:r w:rsidRPr="004A280C">
        <w:rPr>
          <w:rFonts w:ascii="Garamond" w:hAnsi="Garamond"/>
          <w:sz w:val="24"/>
          <w:szCs w:val="24"/>
        </w:rPr>
        <w:t>. o registri trestov a o zmene a doplnení niektorých zákonov v znení neskorších predpisov.</w:t>
      </w:r>
    </w:p>
    <w:p w14:paraId="3B41C1CA"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4A280C">
        <w:rPr>
          <w:rFonts w:ascii="Garamond" w:hAnsi="Garamond"/>
          <w:spacing w:val="-6"/>
          <w:sz w:val="24"/>
          <w:szCs w:val="24"/>
        </w:rPr>
        <w:t>Z.z</w:t>
      </w:r>
      <w:proofErr w:type="spellEnd"/>
      <w:r w:rsidRPr="004A280C">
        <w:rPr>
          <w:rFonts w:ascii="Garamond" w:hAnsi="Garamond"/>
          <w:spacing w:val="-6"/>
          <w:sz w:val="24"/>
          <w:szCs w:val="24"/>
        </w:rPr>
        <w:t>. o registri trestov a o zmene a doplnení niektorých zákonov v znení neskorších predpisov.</w:t>
      </w:r>
    </w:p>
    <w:p w14:paraId="64B441B1"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7D2632E" w14:textId="0D33D300"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8326112" w14:textId="6EDFB7AC" w:rsidR="004A280C" w:rsidRDefault="004A280C"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000C1A5" w14:textId="77777777" w:rsidR="00205D55" w:rsidRPr="004A280C" w:rsidRDefault="00205D55" w:rsidP="00205D55">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lastRenderedPageBreak/>
        <w:t>PODMIENKY ÚČASTI VO VEREJNOM OBSTARÁVANÍ</w:t>
      </w:r>
    </w:p>
    <w:p w14:paraId="5769722E" w14:textId="77777777" w:rsidR="00205D55" w:rsidRDefault="00205D55" w:rsidP="00205D55">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 xml:space="preserve">TÝKAJÚCE SA </w:t>
      </w:r>
      <w:r>
        <w:rPr>
          <w:rFonts w:ascii="Garamond" w:hAnsi="Garamond" w:cs="Times New Roman"/>
          <w:sz w:val="24"/>
          <w:szCs w:val="24"/>
        </w:rPr>
        <w:t>FINANČNÉHO A EKONOMICKÉHO POSTAVENIA</w:t>
      </w:r>
    </w:p>
    <w:p w14:paraId="1811C217" w14:textId="1546C7BE" w:rsidR="00205D55" w:rsidRPr="004A280C" w:rsidRDefault="00205D55" w:rsidP="00205D55">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 xml:space="preserve"> (§ 3</w:t>
      </w:r>
      <w:r>
        <w:rPr>
          <w:rFonts w:ascii="Garamond" w:hAnsi="Garamond" w:cs="Times New Roman"/>
          <w:sz w:val="24"/>
          <w:szCs w:val="24"/>
        </w:rPr>
        <w:t>3</w:t>
      </w:r>
      <w:r w:rsidRPr="004A280C">
        <w:rPr>
          <w:rFonts w:ascii="Garamond" w:hAnsi="Garamond" w:cs="Times New Roman"/>
          <w:sz w:val="24"/>
          <w:szCs w:val="24"/>
        </w:rPr>
        <w:t xml:space="preserve"> ZVO)</w:t>
      </w:r>
    </w:p>
    <w:p w14:paraId="19FD8EA7" w14:textId="034E245C" w:rsidR="00205D55" w:rsidRDefault="00205D55" w:rsidP="006041AC">
      <w:pPr>
        <w:pStyle w:val="Nadpis2"/>
        <w:keepNext w:val="0"/>
        <w:widowControl w:val="0"/>
        <w:jc w:val="center"/>
        <w:rPr>
          <w:rFonts w:ascii="Garamond" w:hAnsi="Garamond" w:cs="Times New Roman"/>
          <w:sz w:val="24"/>
          <w:szCs w:val="24"/>
        </w:rPr>
      </w:pPr>
    </w:p>
    <w:p w14:paraId="67D58222" w14:textId="04EE52B6" w:rsidR="00205D55" w:rsidRDefault="00205D55" w:rsidP="00205D55"/>
    <w:p w14:paraId="45E7BA01" w14:textId="65D78071" w:rsidR="00205D55" w:rsidRPr="00205D55" w:rsidRDefault="00205D55" w:rsidP="00205D55">
      <w:pPr>
        <w:rPr>
          <w:rFonts w:ascii="Garamond" w:hAnsi="Garamond"/>
        </w:rPr>
      </w:pPr>
    </w:p>
    <w:p w14:paraId="17676537" w14:textId="2AAF9387" w:rsidR="00205D55" w:rsidRDefault="00205D55" w:rsidP="00205D55">
      <w:pPr>
        <w:rPr>
          <w:rFonts w:ascii="Garamond" w:hAnsi="Garamond"/>
          <w:sz w:val="24"/>
          <w:szCs w:val="24"/>
        </w:rPr>
      </w:pPr>
      <w:r w:rsidRPr="00205D55">
        <w:rPr>
          <w:rFonts w:ascii="Garamond" w:hAnsi="Garamond"/>
          <w:sz w:val="24"/>
          <w:szCs w:val="24"/>
        </w:rPr>
        <w:t>Nevyžadujú sa.</w:t>
      </w:r>
    </w:p>
    <w:p w14:paraId="2CBB6F5F" w14:textId="2DAC545F" w:rsidR="00205D55" w:rsidRDefault="00205D55" w:rsidP="00205D55">
      <w:pPr>
        <w:rPr>
          <w:rFonts w:ascii="Garamond" w:hAnsi="Garamond"/>
          <w:sz w:val="24"/>
          <w:szCs w:val="24"/>
        </w:rPr>
      </w:pPr>
    </w:p>
    <w:p w14:paraId="472D9794" w14:textId="3B1CE527" w:rsidR="00205D55" w:rsidRDefault="00205D55" w:rsidP="00205D55">
      <w:pPr>
        <w:rPr>
          <w:rFonts w:ascii="Garamond" w:hAnsi="Garamond"/>
          <w:sz w:val="24"/>
          <w:szCs w:val="24"/>
        </w:rPr>
      </w:pPr>
    </w:p>
    <w:p w14:paraId="5E8FE195" w14:textId="50CDF7DB" w:rsidR="00205D55" w:rsidRDefault="00205D55" w:rsidP="00205D55">
      <w:pPr>
        <w:rPr>
          <w:rFonts w:ascii="Garamond" w:hAnsi="Garamond"/>
          <w:sz w:val="24"/>
          <w:szCs w:val="24"/>
        </w:rPr>
      </w:pPr>
    </w:p>
    <w:p w14:paraId="08AA6786" w14:textId="0C5246CA" w:rsidR="00205D55" w:rsidRDefault="00205D55" w:rsidP="00205D55">
      <w:pPr>
        <w:rPr>
          <w:rFonts w:ascii="Garamond" w:hAnsi="Garamond"/>
          <w:sz w:val="24"/>
          <w:szCs w:val="24"/>
        </w:rPr>
      </w:pPr>
    </w:p>
    <w:p w14:paraId="4B727552" w14:textId="010B9EA3" w:rsidR="00205D55" w:rsidRDefault="00205D55" w:rsidP="00205D55">
      <w:pPr>
        <w:rPr>
          <w:rFonts w:ascii="Garamond" w:hAnsi="Garamond"/>
          <w:sz w:val="24"/>
          <w:szCs w:val="24"/>
        </w:rPr>
      </w:pPr>
    </w:p>
    <w:p w14:paraId="35D19082" w14:textId="43A19508" w:rsidR="00205D55" w:rsidRDefault="00205D55" w:rsidP="00205D55">
      <w:pPr>
        <w:rPr>
          <w:rFonts w:ascii="Garamond" w:hAnsi="Garamond"/>
          <w:sz w:val="24"/>
          <w:szCs w:val="24"/>
        </w:rPr>
      </w:pPr>
    </w:p>
    <w:p w14:paraId="28DF35FD" w14:textId="1626FBD6" w:rsidR="00205D55" w:rsidRDefault="00205D55" w:rsidP="00205D55">
      <w:pPr>
        <w:rPr>
          <w:rFonts w:ascii="Garamond" w:hAnsi="Garamond"/>
          <w:sz w:val="24"/>
          <w:szCs w:val="24"/>
        </w:rPr>
      </w:pPr>
    </w:p>
    <w:p w14:paraId="7097FACF" w14:textId="117DCEA3" w:rsidR="00205D55" w:rsidRDefault="00205D55" w:rsidP="00205D55">
      <w:pPr>
        <w:rPr>
          <w:rFonts w:ascii="Garamond" w:hAnsi="Garamond"/>
          <w:sz w:val="24"/>
          <w:szCs w:val="24"/>
        </w:rPr>
      </w:pPr>
    </w:p>
    <w:p w14:paraId="226D0B5F" w14:textId="4C5A1247" w:rsidR="00205D55" w:rsidRDefault="00205D55" w:rsidP="00205D55">
      <w:pPr>
        <w:rPr>
          <w:rFonts w:ascii="Garamond" w:hAnsi="Garamond"/>
          <w:sz w:val="24"/>
          <w:szCs w:val="24"/>
        </w:rPr>
      </w:pPr>
    </w:p>
    <w:p w14:paraId="367C14AC" w14:textId="5131CD05" w:rsidR="00205D55" w:rsidRDefault="00205D55" w:rsidP="00205D55">
      <w:pPr>
        <w:rPr>
          <w:rFonts w:ascii="Garamond" w:hAnsi="Garamond"/>
          <w:sz w:val="24"/>
          <w:szCs w:val="24"/>
        </w:rPr>
      </w:pPr>
    </w:p>
    <w:p w14:paraId="7E931E0B" w14:textId="6CF4750B" w:rsidR="00205D55" w:rsidRDefault="00205D55" w:rsidP="00205D55">
      <w:pPr>
        <w:rPr>
          <w:rFonts w:ascii="Garamond" w:hAnsi="Garamond"/>
          <w:sz w:val="24"/>
          <w:szCs w:val="24"/>
        </w:rPr>
      </w:pPr>
    </w:p>
    <w:p w14:paraId="793B1A4F" w14:textId="6B6D3784" w:rsidR="00205D55" w:rsidRDefault="00205D55" w:rsidP="00205D55">
      <w:pPr>
        <w:rPr>
          <w:rFonts w:ascii="Garamond" w:hAnsi="Garamond"/>
          <w:sz w:val="24"/>
          <w:szCs w:val="24"/>
        </w:rPr>
      </w:pPr>
    </w:p>
    <w:p w14:paraId="57F7B5AB" w14:textId="55013E8E" w:rsidR="00205D55" w:rsidRDefault="00205D55" w:rsidP="00205D55">
      <w:pPr>
        <w:rPr>
          <w:rFonts w:ascii="Garamond" w:hAnsi="Garamond"/>
          <w:sz w:val="24"/>
          <w:szCs w:val="24"/>
        </w:rPr>
      </w:pPr>
    </w:p>
    <w:p w14:paraId="2BC9BAD5" w14:textId="751150C5" w:rsidR="00205D55" w:rsidRDefault="00205D55" w:rsidP="00205D55">
      <w:pPr>
        <w:rPr>
          <w:rFonts w:ascii="Garamond" w:hAnsi="Garamond"/>
          <w:sz w:val="24"/>
          <w:szCs w:val="24"/>
        </w:rPr>
      </w:pPr>
    </w:p>
    <w:p w14:paraId="34549C23" w14:textId="2CF6CD3F" w:rsidR="00205D55" w:rsidRDefault="00205D55" w:rsidP="00205D55">
      <w:pPr>
        <w:rPr>
          <w:rFonts w:ascii="Garamond" w:hAnsi="Garamond"/>
          <w:sz w:val="24"/>
          <w:szCs w:val="24"/>
        </w:rPr>
      </w:pPr>
    </w:p>
    <w:p w14:paraId="132CBE42" w14:textId="368BB1AF" w:rsidR="00205D55" w:rsidRDefault="00205D55" w:rsidP="00205D55">
      <w:pPr>
        <w:rPr>
          <w:rFonts w:ascii="Garamond" w:hAnsi="Garamond"/>
          <w:sz w:val="24"/>
          <w:szCs w:val="24"/>
        </w:rPr>
      </w:pPr>
    </w:p>
    <w:p w14:paraId="282C59E5" w14:textId="48817F6E" w:rsidR="00205D55" w:rsidRDefault="00205D55" w:rsidP="00205D55">
      <w:pPr>
        <w:rPr>
          <w:rFonts w:ascii="Garamond" w:hAnsi="Garamond"/>
          <w:sz w:val="24"/>
          <w:szCs w:val="24"/>
        </w:rPr>
      </w:pPr>
    </w:p>
    <w:p w14:paraId="2B02859D" w14:textId="1ACCAC08" w:rsidR="00205D55" w:rsidRDefault="00205D55" w:rsidP="00205D55">
      <w:pPr>
        <w:rPr>
          <w:rFonts w:ascii="Garamond" w:hAnsi="Garamond"/>
          <w:sz w:val="24"/>
          <w:szCs w:val="24"/>
        </w:rPr>
      </w:pPr>
    </w:p>
    <w:p w14:paraId="38F07A23" w14:textId="7C8A5246" w:rsidR="00205D55" w:rsidRDefault="00205D55" w:rsidP="00205D55">
      <w:pPr>
        <w:rPr>
          <w:rFonts w:ascii="Garamond" w:hAnsi="Garamond"/>
          <w:sz w:val="24"/>
          <w:szCs w:val="24"/>
        </w:rPr>
      </w:pPr>
    </w:p>
    <w:p w14:paraId="61834528" w14:textId="040107F2" w:rsidR="00205D55" w:rsidRDefault="00205D55" w:rsidP="00205D55">
      <w:pPr>
        <w:rPr>
          <w:rFonts w:ascii="Garamond" w:hAnsi="Garamond"/>
          <w:sz w:val="24"/>
          <w:szCs w:val="24"/>
        </w:rPr>
      </w:pPr>
    </w:p>
    <w:p w14:paraId="369A7E6B" w14:textId="5FF0AEDA" w:rsidR="00205D55" w:rsidRDefault="00205D55" w:rsidP="00205D55">
      <w:pPr>
        <w:rPr>
          <w:rFonts w:ascii="Garamond" w:hAnsi="Garamond"/>
          <w:sz w:val="24"/>
          <w:szCs w:val="24"/>
        </w:rPr>
      </w:pPr>
    </w:p>
    <w:p w14:paraId="2F70D530" w14:textId="16AF4CCF" w:rsidR="00205D55" w:rsidRDefault="00205D55" w:rsidP="00205D55">
      <w:pPr>
        <w:rPr>
          <w:rFonts w:ascii="Garamond" w:hAnsi="Garamond"/>
          <w:sz w:val="24"/>
          <w:szCs w:val="24"/>
        </w:rPr>
      </w:pPr>
    </w:p>
    <w:p w14:paraId="5E2267C8" w14:textId="68F4418A" w:rsidR="00205D55" w:rsidRDefault="00205D55" w:rsidP="00205D55">
      <w:pPr>
        <w:rPr>
          <w:rFonts w:ascii="Garamond" w:hAnsi="Garamond"/>
          <w:sz w:val="24"/>
          <w:szCs w:val="24"/>
        </w:rPr>
      </w:pPr>
    </w:p>
    <w:p w14:paraId="7D833BD2" w14:textId="2E9AEEB0" w:rsidR="00205D55" w:rsidRDefault="00205D55" w:rsidP="00205D55">
      <w:pPr>
        <w:rPr>
          <w:rFonts w:ascii="Garamond" w:hAnsi="Garamond"/>
          <w:sz w:val="24"/>
          <w:szCs w:val="24"/>
        </w:rPr>
      </w:pPr>
    </w:p>
    <w:p w14:paraId="08C3921C" w14:textId="51C8EA2D" w:rsidR="00205D55" w:rsidRDefault="00205D55" w:rsidP="00205D55">
      <w:pPr>
        <w:rPr>
          <w:rFonts w:ascii="Garamond" w:hAnsi="Garamond"/>
          <w:sz w:val="24"/>
          <w:szCs w:val="24"/>
        </w:rPr>
      </w:pPr>
    </w:p>
    <w:p w14:paraId="23CCAE6B" w14:textId="7E4C1230" w:rsidR="00205D55" w:rsidRDefault="00205D55" w:rsidP="00205D55">
      <w:pPr>
        <w:rPr>
          <w:rFonts w:ascii="Garamond" w:hAnsi="Garamond"/>
          <w:sz w:val="24"/>
          <w:szCs w:val="24"/>
        </w:rPr>
      </w:pPr>
    </w:p>
    <w:p w14:paraId="4762BB0A" w14:textId="31AE555C" w:rsidR="00205D55" w:rsidRDefault="00205D55" w:rsidP="00205D55">
      <w:pPr>
        <w:rPr>
          <w:rFonts w:ascii="Garamond" w:hAnsi="Garamond"/>
          <w:sz w:val="24"/>
          <w:szCs w:val="24"/>
        </w:rPr>
      </w:pPr>
    </w:p>
    <w:p w14:paraId="080D8563" w14:textId="09C2EE13" w:rsidR="00205D55" w:rsidRDefault="00205D55" w:rsidP="00205D55">
      <w:pPr>
        <w:rPr>
          <w:rFonts w:ascii="Garamond" w:hAnsi="Garamond"/>
          <w:sz w:val="24"/>
          <w:szCs w:val="24"/>
        </w:rPr>
      </w:pPr>
    </w:p>
    <w:p w14:paraId="163410D8" w14:textId="6676DBF3" w:rsidR="00205D55" w:rsidRDefault="00205D55" w:rsidP="00205D55">
      <w:pPr>
        <w:rPr>
          <w:rFonts w:ascii="Garamond" w:hAnsi="Garamond"/>
          <w:sz w:val="24"/>
          <w:szCs w:val="24"/>
        </w:rPr>
      </w:pPr>
    </w:p>
    <w:p w14:paraId="78E0DCEE" w14:textId="658886A0" w:rsidR="00205D55" w:rsidRDefault="00205D55" w:rsidP="00205D55">
      <w:pPr>
        <w:rPr>
          <w:rFonts w:ascii="Garamond" w:hAnsi="Garamond"/>
          <w:sz w:val="24"/>
          <w:szCs w:val="24"/>
        </w:rPr>
      </w:pPr>
    </w:p>
    <w:p w14:paraId="41A1A52E" w14:textId="714AB59E" w:rsidR="00205D55" w:rsidRDefault="00205D55" w:rsidP="00205D55">
      <w:pPr>
        <w:rPr>
          <w:rFonts w:ascii="Garamond" w:hAnsi="Garamond"/>
          <w:sz w:val="24"/>
          <w:szCs w:val="24"/>
        </w:rPr>
      </w:pPr>
    </w:p>
    <w:p w14:paraId="5A265B6B" w14:textId="0C8DFCCE" w:rsidR="00205D55" w:rsidRDefault="00205D55" w:rsidP="00205D55">
      <w:pPr>
        <w:rPr>
          <w:rFonts w:ascii="Garamond" w:hAnsi="Garamond"/>
          <w:sz w:val="24"/>
          <w:szCs w:val="24"/>
        </w:rPr>
      </w:pPr>
    </w:p>
    <w:p w14:paraId="3E2811A6" w14:textId="2239EA98" w:rsidR="00205D55" w:rsidRDefault="00205D55" w:rsidP="00205D55">
      <w:pPr>
        <w:rPr>
          <w:rFonts w:ascii="Garamond" w:hAnsi="Garamond"/>
          <w:sz w:val="24"/>
          <w:szCs w:val="24"/>
        </w:rPr>
      </w:pPr>
    </w:p>
    <w:p w14:paraId="22E9822B" w14:textId="733360E4" w:rsidR="00205D55" w:rsidRDefault="00205D55" w:rsidP="00205D55">
      <w:pPr>
        <w:rPr>
          <w:rFonts w:ascii="Garamond" w:hAnsi="Garamond"/>
          <w:sz w:val="24"/>
          <w:szCs w:val="24"/>
        </w:rPr>
      </w:pPr>
    </w:p>
    <w:p w14:paraId="151910A7" w14:textId="7DA09A06" w:rsidR="00205D55" w:rsidRDefault="00205D55" w:rsidP="00205D55">
      <w:pPr>
        <w:rPr>
          <w:rFonts w:ascii="Garamond" w:hAnsi="Garamond"/>
          <w:sz w:val="24"/>
          <w:szCs w:val="24"/>
        </w:rPr>
      </w:pPr>
    </w:p>
    <w:p w14:paraId="1541E3B3" w14:textId="1BC905E6" w:rsidR="00205D55" w:rsidRDefault="00205D55" w:rsidP="00205D55">
      <w:pPr>
        <w:rPr>
          <w:rFonts w:ascii="Garamond" w:hAnsi="Garamond"/>
          <w:sz w:val="24"/>
          <w:szCs w:val="24"/>
        </w:rPr>
      </w:pPr>
    </w:p>
    <w:p w14:paraId="09F4010E" w14:textId="70D927E9" w:rsidR="00205D55" w:rsidRDefault="00205D55" w:rsidP="00205D55">
      <w:pPr>
        <w:rPr>
          <w:rFonts w:ascii="Garamond" w:hAnsi="Garamond"/>
          <w:sz w:val="24"/>
          <w:szCs w:val="24"/>
        </w:rPr>
      </w:pPr>
    </w:p>
    <w:p w14:paraId="55DD0DD4" w14:textId="1C686558" w:rsidR="00205D55" w:rsidRDefault="00205D55" w:rsidP="00205D55">
      <w:pPr>
        <w:rPr>
          <w:rFonts w:ascii="Garamond" w:hAnsi="Garamond"/>
          <w:sz w:val="24"/>
          <w:szCs w:val="24"/>
        </w:rPr>
      </w:pPr>
    </w:p>
    <w:p w14:paraId="6C04A6F3" w14:textId="0985AB25" w:rsidR="00205D55" w:rsidRDefault="00205D55" w:rsidP="00205D55">
      <w:pPr>
        <w:rPr>
          <w:rFonts w:ascii="Garamond" w:hAnsi="Garamond"/>
          <w:sz w:val="24"/>
          <w:szCs w:val="24"/>
        </w:rPr>
      </w:pPr>
    </w:p>
    <w:p w14:paraId="68036F73" w14:textId="66D773C7" w:rsidR="00205D55" w:rsidRDefault="00205D55" w:rsidP="00205D55">
      <w:pPr>
        <w:rPr>
          <w:rFonts w:ascii="Garamond" w:hAnsi="Garamond"/>
          <w:sz w:val="24"/>
          <w:szCs w:val="24"/>
        </w:rPr>
      </w:pPr>
    </w:p>
    <w:p w14:paraId="728193CC" w14:textId="700FF8A2" w:rsidR="00205D55" w:rsidRDefault="00205D55" w:rsidP="00205D55">
      <w:pPr>
        <w:rPr>
          <w:rFonts w:ascii="Garamond" w:hAnsi="Garamond"/>
          <w:sz w:val="24"/>
          <w:szCs w:val="24"/>
        </w:rPr>
      </w:pPr>
    </w:p>
    <w:p w14:paraId="2FC2650D" w14:textId="77777777" w:rsidR="00205D55" w:rsidRPr="00205D55" w:rsidRDefault="00205D55" w:rsidP="00205D55">
      <w:pPr>
        <w:rPr>
          <w:sz w:val="24"/>
          <w:szCs w:val="24"/>
        </w:rPr>
      </w:pPr>
    </w:p>
    <w:p w14:paraId="12A1E1D4" w14:textId="7C4FBC73"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lastRenderedPageBreak/>
        <w:t>PODMIENKY ÚČASTI VO VEREJNOM OBSTARÁVANÍ</w:t>
      </w:r>
    </w:p>
    <w:p w14:paraId="67614AC5" w14:textId="35CE27F5"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 xml:space="preserve">TÝKAJÚCE SA </w:t>
      </w:r>
      <w:r w:rsidR="00205D55">
        <w:rPr>
          <w:rFonts w:ascii="Garamond" w:hAnsi="Garamond" w:cs="Times New Roman"/>
          <w:sz w:val="24"/>
          <w:szCs w:val="24"/>
        </w:rPr>
        <w:t>TECHNICKEJ SPÔSOBILOSTI ALEBO ODBORNEJ SPÔSOBILOSTI</w:t>
      </w:r>
      <w:r w:rsidR="00205D55" w:rsidRPr="004A280C">
        <w:rPr>
          <w:rFonts w:ascii="Garamond" w:hAnsi="Garamond" w:cs="Times New Roman"/>
          <w:sz w:val="24"/>
          <w:szCs w:val="24"/>
        </w:rPr>
        <w:t xml:space="preserve"> </w:t>
      </w:r>
      <w:r w:rsidRPr="004A280C">
        <w:rPr>
          <w:rFonts w:ascii="Garamond" w:hAnsi="Garamond" w:cs="Times New Roman"/>
          <w:sz w:val="24"/>
          <w:szCs w:val="24"/>
        </w:rPr>
        <w:t>(§ 34 ZVO)</w:t>
      </w:r>
    </w:p>
    <w:p w14:paraId="1A7E4FB8" w14:textId="53F25FBA" w:rsidR="004A280C" w:rsidRDefault="004A280C" w:rsidP="004A280C">
      <w:pPr>
        <w:rPr>
          <w:rFonts w:ascii="Garamond" w:hAnsi="Garamond"/>
          <w:sz w:val="24"/>
          <w:szCs w:val="24"/>
        </w:rPr>
      </w:pPr>
    </w:p>
    <w:p w14:paraId="51B9E5D5" w14:textId="77777777" w:rsidR="006041AC" w:rsidRPr="004A280C" w:rsidRDefault="006041AC" w:rsidP="004A280C">
      <w:pPr>
        <w:rPr>
          <w:rFonts w:ascii="Garamond" w:hAnsi="Garamond"/>
          <w:sz w:val="24"/>
          <w:szCs w:val="24"/>
        </w:rPr>
      </w:pPr>
    </w:p>
    <w:p w14:paraId="7AC50BC0" w14:textId="78EE67BD" w:rsidR="004A280C" w:rsidRPr="004A280C" w:rsidRDefault="004A280C" w:rsidP="004A280C">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technickej spôsobilosti alebo odbornej spôsobilosti:</w:t>
      </w:r>
    </w:p>
    <w:p w14:paraId="4D640F0A" w14:textId="77777777" w:rsidR="004A280C" w:rsidRPr="00205D55" w:rsidRDefault="004A280C" w:rsidP="004A280C">
      <w:pPr>
        <w:widowControl w:val="0"/>
        <w:tabs>
          <w:tab w:val="clear" w:pos="2160"/>
          <w:tab w:val="clear" w:pos="2880"/>
          <w:tab w:val="clear" w:pos="4500"/>
        </w:tabs>
        <w:jc w:val="both"/>
        <w:rPr>
          <w:rFonts w:ascii="Garamond" w:hAnsi="Garamond"/>
          <w:sz w:val="22"/>
          <w:szCs w:val="22"/>
        </w:rPr>
      </w:pPr>
    </w:p>
    <w:p w14:paraId="52E5282B"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1.</w:t>
      </w:r>
      <w:r w:rsidRPr="00205D55">
        <w:rPr>
          <w:rFonts w:ascii="Garamond" w:hAnsi="Garamond" w:cs="Calibri"/>
          <w:sz w:val="22"/>
          <w:szCs w:val="22"/>
          <w:lang w:eastAsia="sk-SK"/>
        </w:rPr>
        <w:tab/>
        <w:t>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3C42D1E3"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1. bol verejný obstarávateľ alebo obstarávateľ podľa ZVO, dokladom je referencia,</w:t>
      </w:r>
    </w:p>
    <w:p w14:paraId="6A7ACA41"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AE02D3"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p>
    <w:p w14:paraId="45AEF8A6"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 xml:space="preserve">Minimálna úroveň. </w:t>
      </w:r>
    </w:p>
    <w:p w14:paraId="6485C148"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 xml:space="preserve">Verejný obstarávateľ požaduje preukázať uskutočnenie stavebných prác rovnakého alebo obdobného charakteru ako predmet zákazky v hodnote </w:t>
      </w:r>
      <w:r w:rsidRPr="00205D55">
        <w:rPr>
          <w:rFonts w:ascii="Garamond" w:hAnsi="Garamond" w:cs="Calibri"/>
          <w:sz w:val="22"/>
          <w:szCs w:val="22"/>
          <w:u w:val="single"/>
          <w:lang w:eastAsia="sk-SK"/>
        </w:rPr>
        <w:t>minimálne dosahujúcej 300 000,- EUR bez DPH.</w:t>
      </w:r>
    </w:p>
    <w:p w14:paraId="7A54E435"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p>
    <w:p w14:paraId="25C3CB87"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6363C0B3"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p>
    <w:p w14:paraId="04E477E2" w14:textId="77777777" w:rsidR="00205D55" w:rsidRPr="00205D55" w:rsidRDefault="00205D55" w:rsidP="00205D55">
      <w:pPr>
        <w:ind w:left="37" w:hanging="37"/>
        <w:jc w:val="both"/>
        <w:rPr>
          <w:rFonts w:ascii="Garamond" w:hAnsi="Garamond" w:cstheme="minorHAnsi"/>
          <w:sz w:val="22"/>
          <w:szCs w:val="22"/>
        </w:rPr>
      </w:pPr>
      <w:r w:rsidRPr="00205D55">
        <w:rPr>
          <w:rFonts w:ascii="Garamond" w:hAnsi="Garamond" w:cstheme="minorHAnsi"/>
          <w:sz w:val="22"/>
          <w:szCs w:val="22"/>
        </w:rPr>
        <w:t xml:space="preserve">Uchádzač musí ako právnická osoba preukázať splnenie podmienky aj prostredníctvom oprávnenia pre určené činnosti na mestských (električkových a trolejbusových) dráhach vydanej Dopravným úradom SR alebo poverenou právnickou osobou (PPO) v zmysle zákona o dráhach č. 513/2009 </w:t>
      </w:r>
      <w:proofErr w:type="spellStart"/>
      <w:r w:rsidRPr="00205D55">
        <w:rPr>
          <w:rFonts w:ascii="Garamond" w:hAnsi="Garamond" w:cstheme="minorHAnsi"/>
          <w:sz w:val="22"/>
          <w:szCs w:val="22"/>
        </w:rPr>
        <w:t>Z.z</w:t>
      </w:r>
      <w:proofErr w:type="spellEnd"/>
      <w:r w:rsidRPr="00205D55">
        <w:rPr>
          <w:rFonts w:ascii="Garamond" w:hAnsi="Garamond" w:cstheme="minorHAnsi"/>
          <w:sz w:val="22"/>
          <w:szCs w:val="22"/>
        </w:rPr>
        <w:t>. a Vyhl. č. 205/2010 v znení neskorších predpisov.</w:t>
      </w:r>
    </w:p>
    <w:p w14:paraId="4BD7DF4F" w14:textId="77777777" w:rsidR="00205D55" w:rsidRPr="00205D55" w:rsidRDefault="00205D55" w:rsidP="00205D55">
      <w:pPr>
        <w:widowControl w:val="0"/>
        <w:jc w:val="both"/>
        <w:rPr>
          <w:rFonts w:ascii="Garamond" w:hAnsi="Garamond" w:cstheme="minorHAnsi"/>
          <w:sz w:val="22"/>
          <w:szCs w:val="22"/>
        </w:rPr>
      </w:pPr>
    </w:p>
    <w:p w14:paraId="339EBB1B" w14:textId="77777777" w:rsidR="00205D55" w:rsidRPr="00205D55" w:rsidRDefault="00205D55" w:rsidP="00205D55">
      <w:pPr>
        <w:tabs>
          <w:tab w:val="left" w:pos="2410"/>
        </w:tabs>
        <w:jc w:val="both"/>
        <w:rPr>
          <w:rFonts w:ascii="Garamond" w:hAnsi="Garamond" w:cstheme="minorHAnsi"/>
          <w:sz w:val="22"/>
          <w:szCs w:val="22"/>
          <w:lang w:eastAsia="sk-SK"/>
        </w:rPr>
      </w:pPr>
      <w:r w:rsidRPr="00205D55">
        <w:rPr>
          <w:rFonts w:ascii="Garamond" w:hAnsi="Garamond" w:cstheme="minorHAnsi"/>
          <w:b/>
          <w:bCs/>
          <w:sz w:val="22"/>
          <w:szCs w:val="22"/>
        </w:rPr>
        <w:t xml:space="preserve">Požadovaný minimálny rozsah oprávnenia </w:t>
      </w:r>
      <w:r w:rsidRPr="00205D55">
        <w:rPr>
          <w:rFonts w:ascii="Garamond" w:hAnsi="Garamond" w:cstheme="minorHAnsi"/>
          <w:sz w:val="22"/>
          <w:szCs w:val="22"/>
          <w:lang w:eastAsia="sk-SK"/>
        </w:rPr>
        <w:t xml:space="preserve">v zmysle Vyhlášky </w:t>
      </w:r>
      <w:r w:rsidRPr="00205D55">
        <w:rPr>
          <w:rFonts w:ascii="Garamond" w:hAnsi="Garamond" w:cstheme="minorHAnsi"/>
          <w:sz w:val="22"/>
          <w:szCs w:val="22"/>
        </w:rPr>
        <w:t>č. 205/2010 Z. z.</w:t>
      </w:r>
      <w:r w:rsidRPr="00205D55">
        <w:rPr>
          <w:rFonts w:ascii="Garamond" w:hAnsi="Garamond" w:cstheme="minorHAnsi"/>
          <w:sz w:val="22"/>
          <w:szCs w:val="22"/>
          <w:lang w:eastAsia="sk-SK"/>
        </w:rPr>
        <w:t xml:space="preserve"> v znení neskorších predpisov:</w:t>
      </w:r>
    </w:p>
    <w:p w14:paraId="6B7CD9BE"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E1 Elektrické rozvodné zariadenia dráh a elektrické stanice dráh bez obmedzenia napätia</w:t>
      </w:r>
    </w:p>
    <w:p w14:paraId="2FBA2D2F"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E2 Elektrické siete dráh a elektrické rozvody do 1000V AC a 1500V DC vrátane</w:t>
      </w:r>
    </w:p>
    <w:p w14:paraId="146431ED" w14:textId="142079C2" w:rsid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E3a Trakčné napájacie a spínacie stanice električkových, trolejbusových a špeciálnych dráh</w:t>
      </w:r>
    </w:p>
    <w:p w14:paraId="3D24B525"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E4a Trakčné vedenie električkových, trolejbusových a špeciálnych dráh, prívodná koľajnica metra</w:t>
      </w:r>
    </w:p>
    <w:p w14:paraId="44462A1A"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E5 Elektrické zariadenia napájané z trakčného vedenia</w:t>
      </w:r>
    </w:p>
    <w:p w14:paraId="52CA033B"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E9 Náhradné zdroje elektrickej energie na prevádzkovanie dráhy</w:t>
      </w:r>
    </w:p>
    <w:p w14:paraId="2AEADBD5"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E11 Zariadenia na ochranu pred účinkami atmosférickej a statickej elektriny</w:t>
      </w:r>
    </w:p>
    <w:p w14:paraId="0F00355A" w14:textId="77777777" w:rsidR="00205D55" w:rsidRPr="00205D55" w:rsidRDefault="00205D55" w:rsidP="00205D55">
      <w:pPr>
        <w:pStyle w:val="Odsekzoznamu"/>
        <w:tabs>
          <w:tab w:val="left" w:pos="2410"/>
        </w:tabs>
        <w:ind w:left="993"/>
        <w:jc w:val="both"/>
        <w:rPr>
          <w:rFonts w:ascii="Garamond" w:hAnsi="Garamond" w:cstheme="minorHAnsi"/>
          <w:sz w:val="22"/>
          <w:szCs w:val="22"/>
          <w:lang w:eastAsia="sk-SK"/>
        </w:rPr>
      </w:pPr>
      <w:r w:rsidRPr="00205D55">
        <w:rPr>
          <w:rFonts w:ascii="Garamond" w:hAnsi="Garamond" w:cstheme="minorHAnsi"/>
          <w:sz w:val="22"/>
          <w:szCs w:val="22"/>
          <w:lang w:eastAsia="sk-SK"/>
        </w:rPr>
        <w:t>E12 Zariadenia na ochranu pred negatívnymi účinkami spätných trakčných prúdov</w:t>
      </w:r>
    </w:p>
    <w:p w14:paraId="160B6F4D" w14:textId="77777777" w:rsidR="00205D55" w:rsidRPr="00205D55" w:rsidRDefault="00205D55" w:rsidP="00205D55">
      <w:pPr>
        <w:pStyle w:val="Odsekzoznamu"/>
        <w:tabs>
          <w:tab w:val="left" w:pos="2410"/>
        </w:tabs>
        <w:ind w:left="993"/>
        <w:jc w:val="both"/>
        <w:rPr>
          <w:rFonts w:ascii="Garamond" w:hAnsi="Garamond" w:cstheme="minorHAnsi"/>
          <w:sz w:val="22"/>
          <w:szCs w:val="22"/>
        </w:rPr>
      </w:pPr>
    </w:p>
    <w:p w14:paraId="4FB999E4"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lastRenderedPageBreak/>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1E518D28"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p>
    <w:p w14:paraId="39A0FC64" w14:textId="77777777" w:rsidR="00205D55" w:rsidRPr="00205D55" w:rsidRDefault="00205D55" w:rsidP="00205D55">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Minimálna úroveň:</w:t>
      </w:r>
    </w:p>
    <w:p w14:paraId="6FFF5F64" w14:textId="77777777" w:rsidR="00205D55" w:rsidRPr="00205D55" w:rsidRDefault="00205D55" w:rsidP="00205D55">
      <w:pPr>
        <w:spacing w:after="160" w:line="276" w:lineRule="auto"/>
        <w:jc w:val="both"/>
        <w:rPr>
          <w:rFonts w:ascii="Garamond" w:hAnsi="Garamond" w:cstheme="minorHAnsi"/>
          <w:sz w:val="22"/>
          <w:szCs w:val="22"/>
        </w:rPr>
      </w:pPr>
      <w:r w:rsidRPr="00205D55">
        <w:rPr>
          <w:rFonts w:ascii="Garamond" w:hAnsi="Garamond" w:cstheme="minorHAnsi"/>
          <w:b/>
          <w:sz w:val="22"/>
          <w:szCs w:val="22"/>
        </w:rPr>
        <w:t>Kľúčový odborník č. 1: Stavbyvedúci</w:t>
      </w:r>
      <w:r w:rsidRPr="00205D55">
        <w:rPr>
          <w:rFonts w:ascii="Garamond" w:hAnsi="Garamond" w:cstheme="minorHAnsi"/>
          <w:bCs/>
          <w:sz w:val="22"/>
          <w:szCs w:val="22"/>
        </w:rPr>
        <w:t>,</w:t>
      </w:r>
      <w:r w:rsidRPr="00205D55">
        <w:rPr>
          <w:rFonts w:ascii="Garamond" w:hAnsi="Garamond" w:cstheme="minorHAnsi"/>
          <w:b/>
          <w:sz w:val="22"/>
          <w:szCs w:val="22"/>
        </w:rPr>
        <w:t xml:space="preserve"> </w:t>
      </w:r>
      <w:r w:rsidRPr="00205D55">
        <w:rPr>
          <w:rFonts w:ascii="Garamond" w:hAnsi="Garamond" w:cstheme="minorHAnsi"/>
          <w:bCs/>
          <w:sz w:val="22"/>
          <w:szCs w:val="22"/>
        </w:rPr>
        <w:t>musí spĺňať nasledovné požiadavky:</w:t>
      </w:r>
    </w:p>
    <w:p w14:paraId="32FB8214" w14:textId="77777777" w:rsidR="00205D55" w:rsidRPr="00205D55" w:rsidRDefault="00205D55" w:rsidP="00205D55">
      <w:pPr>
        <w:numPr>
          <w:ilvl w:val="0"/>
          <w:numId w:val="42"/>
        </w:numPr>
        <w:tabs>
          <w:tab w:val="clear" w:pos="2160"/>
          <w:tab w:val="clear" w:pos="2880"/>
          <w:tab w:val="clear" w:pos="4500"/>
        </w:tabs>
        <w:spacing w:after="160" w:line="276" w:lineRule="auto"/>
        <w:jc w:val="both"/>
        <w:rPr>
          <w:rFonts w:ascii="Garamond" w:hAnsi="Garamond" w:cstheme="minorHAnsi"/>
          <w:sz w:val="22"/>
          <w:szCs w:val="22"/>
        </w:rPr>
      </w:pPr>
      <w:r w:rsidRPr="00205D55">
        <w:rPr>
          <w:rFonts w:ascii="Garamond" w:hAnsi="Garamond" w:cstheme="minorHAnsi"/>
          <w:sz w:val="22"/>
          <w:szCs w:val="22"/>
        </w:rPr>
        <w:t xml:space="preserve">Držiteľ osvedčenia pre stavbyvedúceho v kategórii pozemné stavby s rozsahom pre jednoduché stavby ( do 31.12.2004 ), pozemné stavby ( od 01.01.2005 do 31.12.2008 ) alebo  pozemné stavby ( od 01.01.2009 pre stredoškolákov ) alebo bez členenia odborných zameraní ( od 01.01.2009 pre inžinierov ) alebo podľa zákona o autorizovaných architektoch alebo ekvivalentom oprávnenia </w:t>
      </w:r>
      <w:r w:rsidRPr="00205D55">
        <w:rPr>
          <w:rFonts w:ascii="Garamond" w:hAnsi="Garamond" w:cstheme="minorHAnsi"/>
          <w:sz w:val="22"/>
          <w:szCs w:val="22"/>
          <w:shd w:val="clear" w:color="auto" w:fill="FFFFFF"/>
        </w:rPr>
        <w:t>preukazujúcim predmetné skutočnosti vydávaným v inom štáte</w:t>
      </w:r>
      <w:r w:rsidRPr="00205D55">
        <w:rPr>
          <w:rFonts w:ascii="Garamond" w:hAnsi="Garamond" w:cstheme="minorHAnsi"/>
          <w:b/>
          <w:bCs/>
          <w:sz w:val="22"/>
          <w:szCs w:val="22"/>
        </w:rPr>
        <w:t xml:space="preserve"> </w:t>
      </w:r>
      <w:r w:rsidRPr="00205D55">
        <w:rPr>
          <w:rFonts w:ascii="Garamond" w:hAnsi="Garamond" w:cstheme="minorHAnsi"/>
          <w:sz w:val="22"/>
          <w:szCs w:val="22"/>
        </w:rPr>
        <w:t xml:space="preserve">ako SR </w:t>
      </w:r>
    </w:p>
    <w:p w14:paraId="75BA11C1" w14:textId="77777777" w:rsidR="00205D55" w:rsidRPr="00205D55" w:rsidRDefault="00205D55" w:rsidP="00205D55">
      <w:pPr>
        <w:spacing w:line="276" w:lineRule="auto"/>
        <w:ind w:left="927"/>
        <w:jc w:val="both"/>
        <w:rPr>
          <w:rFonts w:ascii="Garamond" w:hAnsi="Garamond" w:cstheme="minorHAnsi"/>
          <w:sz w:val="22"/>
          <w:szCs w:val="22"/>
        </w:rPr>
      </w:pPr>
      <w:r w:rsidRPr="00205D55">
        <w:rPr>
          <w:rFonts w:ascii="Garamond" w:hAnsi="Garamond" w:cstheme="minorHAnsi"/>
          <w:sz w:val="22"/>
          <w:szCs w:val="22"/>
        </w:rPr>
        <w:t>Alebo</w:t>
      </w:r>
    </w:p>
    <w:p w14:paraId="7E4806CE" w14:textId="77777777" w:rsidR="00205D55" w:rsidRPr="00205D55" w:rsidRDefault="00205D55" w:rsidP="00205D55">
      <w:pPr>
        <w:numPr>
          <w:ilvl w:val="0"/>
          <w:numId w:val="42"/>
        </w:numPr>
        <w:tabs>
          <w:tab w:val="clear" w:pos="2160"/>
          <w:tab w:val="clear" w:pos="2880"/>
          <w:tab w:val="clear" w:pos="4500"/>
        </w:tabs>
        <w:spacing w:after="160" w:line="276" w:lineRule="auto"/>
        <w:jc w:val="both"/>
        <w:rPr>
          <w:rFonts w:ascii="Garamond" w:hAnsi="Garamond" w:cstheme="minorHAnsi"/>
          <w:sz w:val="22"/>
          <w:szCs w:val="22"/>
        </w:rPr>
      </w:pPr>
      <w:r w:rsidRPr="00205D55">
        <w:rPr>
          <w:rFonts w:ascii="Garamond" w:hAnsi="Garamond" w:cstheme="minorHAnsi"/>
          <w:sz w:val="22"/>
          <w:szCs w:val="22"/>
        </w:rPr>
        <w:t xml:space="preserve">Držiteľ osvedčenia pre stavbyvedúceho v kategórii inžinierske stavby s rozsahom pre dopravné stavby ( do 31.12.2004 ) inžinierske stavby ( od 01.01.2005 do 31.12.2008 ) alebo  inžinierske stavby ( od 01.01.2009 pre stredoškolákov ) alebo bez členenia odborných zameraní ( od 01.01.2009 pre inžinierov ) alebo podľa zákona o autorizovaných architektoch alebo ekvivalentom oprávnenia </w:t>
      </w:r>
      <w:r w:rsidRPr="00205D55">
        <w:rPr>
          <w:rFonts w:ascii="Garamond" w:hAnsi="Garamond" w:cstheme="minorHAnsi"/>
          <w:sz w:val="22"/>
          <w:szCs w:val="22"/>
          <w:shd w:val="clear" w:color="auto" w:fill="FFFFFF"/>
        </w:rPr>
        <w:t>preukazujúcim predmetné skutočnosti vydávaným v inom štáte</w:t>
      </w:r>
      <w:r w:rsidRPr="00205D55">
        <w:rPr>
          <w:rFonts w:ascii="Garamond" w:hAnsi="Garamond" w:cstheme="minorHAnsi"/>
          <w:b/>
          <w:bCs/>
          <w:sz w:val="22"/>
          <w:szCs w:val="22"/>
        </w:rPr>
        <w:t xml:space="preserve"> </w:t>
      </w:r>
      <w:r w:rsidRPr="00205D55">
        <w:rPr>
          <w:rFonts w:ascii="Garamond" w:hAnsi="Garamond" w:cstheme="minorHAnsi"/>
          <w:sz w:val="22"/>
          <w:szCs w:val="22"/>
        </w:rPr>
        <w:t xml:space="preserve">ako SR </w:t>
      </w:r>
    </w:p>
    <w:p w14:paraId="2C3A0A0B" w14:textId="77777777" w:rsidR="00205D55" w:rsidRPr="00205D55" w:rsidRDefault="00205D55" w:rsidP="00205D55">
      <w:pPr>
        <w:spacing w:line="276" w:lineRule="auto"/>
        <w:ind w:left="927"/>
        <w:jc w:val="both"/>
        <w:rPr>
          <w:rFonts w:ascii="Garamond" w:hAnsi="Garamond" w:cstheme="minorHAnsi"/>
          <w:sz w:val="22"/>
          <w:szCs w:val="22"/>
        </w:rPr>
      </w:pPr>
    </w:p>
    <w:p w14:paraId="49A00F8D" w14:textId="77777777" w:rsidR="00205D55" w:rsidRPr="00205D55" w:rsidRDefault="00205D55" w:rsidP="00205D55">
      <w:pPr>
        <w:pStyle w:val="Odsekzoznamu"/>
        <w:numPr>
          <w:ilvl w:val="1"/>
          <w:numId w:val="47"/>
        </w:numPr>
        <w:tabs>
          <w:tab w:val="clear" w:pos="2160"/>
          <w:tab w:val="clear" w:pos="2880"/>
          <w:tab w:val="clear" w:pos="4500"/>
        </w:tabs>
        <w:spacing w:after="160" w:line="276" w:lineRule="auto"/>
        <w:ind w:left="567" w:hanging="567"/>
        <w:jc w:val="both"/>
        <w:rPr>
          <w:rFonts w:ascii="Garamond" w:hAnsi="Garamond" w:cstheme="minorHAnsi"/>
          <w:sz w:val="22"/>
          <w:szCs w:val="22"/>
        </w:rPr>
      </w:pPr>
      <w:r w:rsidRPr="00205D55">
        <w:rPr>
          <w:rFonts w:ascii="Garamond" w:hAnsi="Garamond" w:cstheme="minorHAnsi"/>
          <w:b/>
          <w:sz w:val="22"/>
          <w:szCs w:val="22"/>
        </w:rPr>
        <w:t xml:space="preserve">Kľúčový odborník č. 2: </w:t>
      </w:r>
      <w:bookmarkStart w:id="0" w:name="_Hlk33378312"/>
      <w:r w:rsidRPr="00205D55">
        <w:rPr>
          <w:rFonts w:ascii="Garamond" w:hAnsi="Garamond" w:cstheme="minorHAnsi"/>
          <w:b/>
          <w:sz w:val="22"/>
          <w:szCs w:val="22"/>
        </w:rPr>
        <w:t>Stavbyvedúci</w:t>
      </w:r>
      <w:bookmarkEnd w:id="0"/>
      <w:r w:rsidRPr="00205D55">
        <w:rPr>
          <w:rFonts w:ascii="Garamond" w:hAnsi="Garamond" w:cstheme="minorHAnsi"/>
          <w:b/>
          <w:sz w:val="22"/>
          <w:szCs w:val="22"/>
        </w:rPr>
        <w:t xml:space="preserve"> pre elektrotechnické zariadenia</w:t>
      </w:r>
      <w:r w:rsidRPr="00205D55">
        <w:rPr>
          <w:rFonts w:ascii="Garamond" w:hAnsi="Garamond" w:cstheme="minorHAnsi"/>
          <w:bCs/>
          <w:sz w:val="22"/>
          <w:szCs w:val="22"/>
        </w:rPr>
        <w:t>,</w:t>
      </w:r>
      <w:r w:rsidRPr="00205D55">
        <w:rPr>
          <w:rFonts w:ascii="Garamond" w:hAnsi="Garamond" w:cstheme="minorHAnsi"/>
          <w:b/>
          <w:sz w:val="22"/>
          <w:szCs w:val="22"/>
        </w:rPr>
        <w:t xml:space="preserve"> </w:t>
      </w:r>
      <w:r w:rsidRPr="00205D55">
        <w:rPr>
          <w:rFonts w:ascii="Garamond" w:hAnsi="Garamond" w:cstheme="minorHAnsi"/>
          <w:bCs/>
          <w:sz w:val="22"/>
          <w:szCs w:val="22"/>
        </w:rPr>
        <w:t>musí spĺňať nasledovné požiadavky:</w:t>
      </w:r>
      <w:bookmarkStart w:id="1" w:name="_Hlk45627799"/>
    </w:p>
    <w:p w14:paraId="1C817FF9" w14:textId="77777777" w:rsidR="00205D55" w:rsidRPr="00205D55" w:rsidRDefault="00205D55" w:rsidP="00205D55">
      <w:pPr>
        <w:pStyle w:val="Odsekzoznamu"/>
        <w:numPr>
          <w:ilvl w:val="1"/>
          <w:numId w:val="46"/>
        </w:numPr>
        <w:tabs>
          <w:tab w:val="clear" w:pos="2160"/>
          <w:tab w:val="clear" w:pos="2880"/>
          <w:tab w:val="clear" w:pos="4500"/>
        </w:tabs>
        <w:spacing w:after="160" w:line="276" w:lineRule="auto"/>
        <w:ind w:left="993" w:hanging="426"/>
        <w:jc w:val="both"/>
        <w:rPr>
          <w:rFonts w:ascii="Garamond" w:hAnsi="Garamond" w:cstheme="minorHAnsi"/>
          <w:sz w:val="22"/>
          <w:szCs w:val="22"/>
        </w:rPr>
      </w:pPr>
      <w:r w:rsidRPr="00205D55">
        <w:rPr>
          <w:rFonts w:ascii="Garamond" w:hAnsi="Garamond" w:cstheme="minorHAnsi"/>
          <w:sz w:val="22"/>
          <w:szCs w:val="22"/>
        </w:rPr>
        <w:t xml:space="preserve">Držiteľ osvedčenia pre stavbyvedúceho v kategórii technické, technologické a energetické vybavenie stavieb s rozsahom pre elektrotechnické zariadenia podľa zákona č. 138/1992 Z. z. o autorizovaných architektoch a autorizovaných stavebných inžinieroch v znení neskorších predpisov ( do 31.12.2004 ) alebo technické, technologické a energetické vybavenie stavieb ( od 01.01.2005 do 31.12.2008 ) alebo  technické, technologické a energetické vybavenie stavieb ( od 01.01.2009 pre stredoškolákov ) alebo bez členenia odborných zameraní ( od 01.01.2009 pre inžinierov ) alebo ekvivalentom oprávnenia </w:t>
      </w:r>
      <w:r w:rsidRPr="00205D55">
        <w:rPr>
          <w:rFonts w:ascii="Garamond" w:hAnsi="Garamond" w:cstheme="minorHAnsi"/>
          <w:sz w:val="22"/>
          <w:szCs w:val="22"/>
          <w:shd w:val="clear" w:color="auto" w:fill="FFFFFF"/>
        </w:rPr>
        <w:t>preukazujúcim predmetné skutočnosti vydávaným v inom štáte</w:t>
      </w:r>
      <w:r w:rsidRPr="00205D55">
        <w:rPr>
          <w:rFonts w:ascii="Garamond" w:hAnsi="Garamond" w:cstheme="minorHAnsi"/>
          <w:b/>
          <w:bCs/>
          <w:sz w:val="22"/>
          <w:szCs w:val="22"/>
        </w:rPr>
        <w:t xml:space="preserve"> </w:t>
      </w:r>
      <w:r w:rsidRPr="00205D55">
        <w:rPr>
          <w:rFonts w:ascii="Garamond" w:hAnsi="Garamond" w:cstheme="minorHAnsi"/>
          <w:sz w:val="22"/>
          <w:szCs w:val="22"/>
        </w:rPr>
        <w:t xml:space="preserve">ako SR </w:t>
      </w:r>
    </w:p>
    <w:bookmarkEnd w:id="1"/>
    <w:p w14:paraId="2F172E94" w14:textId="77777777" w:rsidR="00205D55" w:rsidRPr="00205D55" w:rsidRDefault="00205D55" w:rsidP="00205D55">
      <w:pPr>
        <w:numPr>
          <w:ilvl w:val="0"/>
          <w:numId w:val="42"/>
        </w:numPr>
        <w:tabs>
          <w:tab w:val="clear" w:pos="2160"/>
          <w:tab w:val="clear" w:pos="2880"/>
          <w:tab w:val="clear" w:pos="4500"/>
        </w:tabs>
        <w:spacing w:after="160" w:line="276" w:lineRule="auto"/>
        <w:jc w:val="both"/>
        <w:rPr>
          <w:rFonts w:ascii="Garamond" w:hAnsi="Garamond" w:cstheme="minorHAnsi"/>
          <w:sz w:val="22"/>
          <w:szCs w:val="22"/>
        </w:rPr>
      </w:pPr>
      <w:r w:rsidRPr="00205D55">
        <w:rPr>
          <w:rFonts w:ascii="Garamond" w:hAnsi="Garamond" w:cstheme="minorHAnsi"/>
          <w:sz w:val="22"/>
          <w:szCs w:val="22"/>
        </w:rPr>
        <w:t>Alebo</w:t>
      </w:r>
    </w:p>
    <w:p w14:paraId="66A8988E" w14:textId="77777777" w:rsidR="00205D55" w:rsidRPr="00896DD6" w:rsidRDefault="00205D55" w:rsidP="00896DD6">
      <w:pPr>
        <w:spacing w:line="276" w:lineRule="auto"/>
        <w:ind w:left="927"/>
        <w:jc w:val="both"/>
        <w:rPr>
          <w:rFonts w:ascii="Garamond" w:hAnsi="Garamond" w:cstheme="minorHAnsi"/>
          <w:sz w:val="22"/>
          <w:szCs w:val="22"/>
        </w:rPr>
      </w:pPr>
      <w:r w:rsidRPr="00205D55">
        <w:rPr>
          <w:rFonts w:ascii="Garamond" w:hAnsi="Garamond" w:cstheme="minorHAnsi"/>
          <w:sz w:val="22"/>
          <w:szCs w:val="22"/>
        </w:rPr>
        <w:t xml:space="preserve">Držiteľ osvedčenia pre stavbyvedúceho v kategórii inžinierske stavby s rozsahom pre </w:t>
      </w:r>
      <w:r w:rsidRPr="00896DD6">
        <w:rPr>
          <w:rFonts w:ascii="Garamond" w:hAnsi="Garamond" w:cstheme="minorHAnsi"/>
          <w:sz w:val="22"/>
          <w:szCs w:val="22"/>
        </w:rPr>
        <w:t xml:space="preserve">dopravné stavby ( do 31.12.2004 ) inžinierske stavby ( od 01.01.2005 do 31.12.2008 ) alebo  inžinierske stavby ( od 01.01.2009 pre stredoškolákov ) alebo bez členenia odborných zameraní ( od 01.01.2009 pre inžinierov ) alebo podľa zákona o autorizovaných architektoch alebo ekvivalentom oprávnenia </w:t>
      </w:r>
      <w:r w:rsidRPr="00896DD6">
        <w:rPr>
          <w:rFonts w:ascii="Garamond" w:hAnsi="Garamond" w:cstheme="minorHAnsi"/>
          <w:sz w:val="22"/>
          <w:szCs w:val="22"/>
          <w:shd w:val="clear" w:color="auto" w:fill="FFFFFF"/>
        </w:rPr>
        <w:t>preukazujúcim predmetné skutočnosti</w:t>
      </w:r>
      <w:r w:rsidRPr="00896DD6">
        <w:rPr>
          <w:rFonts w:ascii="Garamond" w:hAnsi="Garamond" w:cstheme="minorHAnsi"/>
          <w:sz w:val="22"/>
          <w:szCs w:val="22"/>
          <w:shd w:val="clear" w:color="auto" w:fill="FFFFFF"/>
        </w:rPr>
        <w:t xml:space="preserve"> </w:t>
      </w:r>
      <w:r w:rsidRPr="00896DD6">
        <w:rPr>
          <w:rFonts w:ascii="Garamond" w:hAnsi="Garamond" w:cstheme="minorHAnsi"/>
          <w:sz w:val="22"/>
          <w:szCs w:val="22"/>
          <w:shd w:val="clear" w:color="auto" w:fill="FFFFFF"/>
        </w:rPr>
        <w:t>vydávaným v inom štáte</w:t>
      </w:r>
      <w:r w:rsidRPr="00896DD6">
        <w:rPr>
          <w:rFonts w:ascii="Garamond" w:hAnsi="Garamond" w:cstheme="minorHAnsi"/>
          <w:b/>
          <w:bCs/>
          <w:sz w:val="22"/>
          <w:szCs w:val="22"/>
        </w:rPr>
        <w:t xml:space="preserve"> </w:t>
      </w:r>
      <w:r w:rsidRPr="00896DD6">
        <w:rPr>
          <w:rFonts w:ascii="Garamond" w:hAnsi="Garamond" w:cstheme="minorHAnsi"/>
          <w:sz w:val="22"/>
          <w:szCs w:val="22"/>
        </w:rPr>
        <w:t xml:space="preserve">ako SR </w:t>
      </w:r>
    </w:p>
    <w:p w14:paraId="6CF15B5F" w14:textId="77777777" w:rsidR="00205D55" w:rsidRPr="00896DD6" w:rsidRDefault="00205D55" w:rsidP="00896DD6">
      <w:pPr>
        <w:pStyle w:val="Odsekzoznamu"/>
        <w:spacing w:line="276" w:lineRule="auto"/>
        <w:ind w:left="927"/>
        <w:jc w:val="both"/>
        <w:rPr>
          <w:rFonts w:ascii="Garamond" w:hAnsi="Garamond" w:cstheme="minorHAnsi"/>
          <w:b/>
          <w:bCs/>
          <w:sz w:val="22"/>
          <w:szCs w:val="22"/>
          <w:shd w:val="clear" w:color="auto" w:fill="FFFFFF"/>
        </w:rPr>
      </w:pPr>
      <w:r w:rsidRPr="00896DD6">
        <w:rPr>
          <w:rFonts w:ascii="Garamond" w:hAnsi="Garamond" w:cstheme="minorHAnsi"/>
          <w:b/>
          <w:bCs/>
          <w:sz w:val="22"/>
          <w:szCs w:val="22"/>
          <w:shd w:val="clear" w:color="auto" w:fill="FFFFFF"/>
        </w:rPr>
        <w:t>a zároveň</w:t>
      </w:r>
    </w:p>
    <w:p w14:paraId="024B38E9" w14:textId="77777777" w:rsidR="00205D55" w:rsidRPr="00896DD6" w:rsidRDefault="00205D55" w:rsidP="00896DD6">
      <w:pPr>
        <w:pStyle w:val="Odsekzoznamu"/>
        <w:numPr>
          <w:ilvl w:val="1"/>
          <w:numId w:val="45"/>
        </w:numPr>
        <w:tabs>
          <w:tab w:val="clear" w:pos="2160"/>
          <w:tab w:val="clear" w:pos="2880"/>
          <w:tab w:val="clear" w:pos="4500"/>
        </w:tabs>
        <w:spacing w:after="160" w:line="276" w:lineRule="auto"/>
        <w:ind w:left="851" w:hanging="284"/>
        <w:jc w:val="both"/>
        <w:rPr>
          <w:rFonts w:ascii="Garamond" w:hAnsi="Garamond" w:cstheme="minorHAnsi"/>
          <w:sz w:val="22"/>
          <w:szCs w:val="22"/>
        </w:rPr>
      </w:pPr>
      <w:r w:rsidRPr="00896DD6">
        <w:rPr>
          <w:rFonts w:ascii="Garamond" w:hAnsi="Garamond" w:cstheme="minorHAnsi"/>
          <w:sz w:val="22"/>
          <w:szCs w:val="22"/>
        </w:rPr>
        <w:t xml:space="preserve">Držiteľ osvedčenia o odbornej spôsobilosti § 26 - </w:t>
      </w:r>
      <w:r w:rsidRPr="00896DD6">
        <w:rPr>
          <w:rFonts w:ascii="Garamond" w:hAnsi="Garamond" w:cstheme="minorHAnsi"/>
          <w:sz w:val="22"/>
          <w:szCs w:val="22"/>
          <w:shd w:val="clear" w:color="auto" w:fill="FFFFFF"/>
        </w:rPr>
        <w:t>elektrotechnik na riadenie činností alebo na riadenie prevádzky</w:t>
      </w:r>
      <w:r w:rsidRPr="00896DD6">
        <w:rPr>
          <w:rFonts w:ascii="Garamond" w:hAnsi="Garamond" w:cstheme="minorHAnsi"/>
          <w:sz w:val="22"/>
          <w:szCs w:val="22"/>
        </w:rPr>
        <w:t xml:space="preserve"> podľa zákona č. 513/2009 Z. z. o dráhach a o zmene a doplnení niektorých zákonov v znení neskorších predpisov a vyhlášky Ministerstva dopravy a výstavby SR č. 205/2010 Z. z. o určených technických zariadeniach a určených činnostiach a činnostiach na určených technických zariadeniach v znení neskorších predpisov pre mestské </w:t>
      </w:r>
      <w:r w:rsidRPr="00896DD6">
        <w:rPr>
          <w:rFonts w:ascii="Garamond" w:hAnsi="Garamond" w:cstheme="minorHAnsi"/>
          <w:sz w:val="22"/>
          <w:szCs w:val="22"/>
        </w:rPr>
        <w:lastRenderedPageBreak/>
        <w:t xml:space="preserve">dráhy (električkové a trolejbusové) alebo ekvivalent osvedčenia preukazujúci predmetné skutočnosti vydávaným v inom štáte ako SR. </w:t>
      </w:r>
    </w:p>
    <w:p w14:paraId="1AD2FD9E" w14:textId="77777777" w:rsidR="00205D55" w:rsidRPr="00896DD6" w:rsidRDefault="00205D55" w:rsidP="00896DD6">
      <w:pPr>
        <w:spacing w:line="276" w:lineRule="auto"/>
        <w:ind w:left="143" w:firstLine="708"/>
        <w:jc w:val="both"/>
        <w:rPr>
          <w:rFonts w:ascii="Garamond" w:hAnsi="Garamond" w:cstheme="minorHAnsi"/>
          <w:b/>
          <w:bCs/>
          <w:sz w:val="22"/>
          <w:szCs w:val="22"/>
        </w:rPr>
      </w:pPr>
      <w:r w:rsidRPr="00896DD6">
        <w:rPr>
          <w:rFonts w:ascii="Garamond" w:hAnsi="Garamond" w:cstheme="minorHAnsi"/>
          <w:b/>
          <w:bCs/>
          <w:sz w:val="22"/>
          <w:szCs w:val="22"/>
        </w:rPr>
        <w:t>Požadovaný minimálny rozsah osvedčenia:</w:t>
      </w:r>
    </w:p>
    <w:p w14:paraId="2B584801" w14:textId="77777777" w:rsidR="00205D55" w:rsidRPr="00896DD6" w:rsidRDefault="00205D55" w:rsidP="00896DD6">
      <w:pPr>
        <w:tabs>
          <w:tab w:val="left" w:pos="2410"/>
        </w:tabs>
        <w:spacing w:line="276" w:lineRule="auto"/>
        <w:ind w:left="357" w:hanging="357"/>
        <w:jc w:val="both"/>
        <w:rPr>
          <w:rFonts w:ascii="Garamond" w:hAnsi="Garamond" w:cstheme="minorHAnsi"/>
          <w:sz w:val="22"/>
          <w:szCs w:val="22"/>
          <w:lang w:eastAsia="sk-SK"/>
        </w:rPr>
      </w:pPr>
      <w:r w:rsidRPr="00896DD6">
        <w:rPr>
          <w:rFonts w:ascii="Garamond" w:hAnsi="Garamond" w:cstheme="minorHAnsi"/>
          <w:sz w:val="22"/>
          <w:szCs w:val="22"/>
        </w:rPr>
        <w:t xml:space="preserve">              (osvedčenia</w:t>
      </w:r>
      <w:r w:rsidRPr="00896DD6">
        <w:rPr>
          <w:rFonts w:ascii="Garamond" w:hAnsi="Garamond" w:cstheme="minorHAnsi"/>
          <w:b/>
          <w:bCs/>
          <w:sz w:val="22"/>
          <w:szCs w:val="22"/>
        </w:rPr>
        <w:t xml:space="preserve"> </w:t>
      </w:r>
      <w:r w:rsidRPr="00896DD6">
        <w:rPr>
          <w:rFonts w:ascii="Garamond" w:hAnsi="Garamond" w:cstheme="minorHAnsi"/>
          <w:sz w:val="22"/>
          <w:szCs w:val="22"/>
          <w:lang w:eastAsia="sk-SK"/>
        </w:rPr>
        <w:t xml:space="preserve">v zmysle Vyhlášky </w:t>
      </w:r>
      <w:r w:rsidRPr="00896DD6">
        <w:rPr>
          <w:rFonts w:ascii="Garamond" w:hAnsi="Garamond" w:cstheme="minorHAnsi"/>
          <w:sz w:val="22"/>
          <w:szCs w:val="22"/>
        </w:rPr>
        <w:t>č. 205/2010 Z. z.</w:t>
      </w:r>
      <w:r w:rsidRPr="00896DD6">
        <w:rPr>
          <w:rFonts w:ascii="Garamond" w:hAnsi="Garamond" w:cstheme="minorHAnsi"/>
          <w:sz w:val="22"/>
          <w:szCs w:val="22"/>
          <w:lang w:eastAsia="sk-SK"/>
        </w:rPr>
        <w:t xml:space="preserve"> v znení neskorších predpisov:</w:t>
      </w:r>
    </w:p>
    <w:p w14:paraId="74CF2248"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E1 Elektrické rozvodné zariadenia dráh a elektrické stanice dráh bez obmedzenia napätia</w:t>
      </w:r>
    </w:p>
    <w:p w14:paraId="49630EC7"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E2 Elektrické siete dráh a elektrické rozvody do 1000V AC a 1500V DC vrátane</w:t>
      </w:r>
    </w:p>
    <w:p w14:paraId="783AD469"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E3a Trakčné napájacie a spínacie stanice električkových, trolejbusových a špeciálnych dráh</w:t>
      </w:r>
    </w:p>
    <w:p w14:paraId="03F3C479"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E4a Trakčné vedenie električkových, trolejbusových a špeciálnych dráh, prívodná koľajnica metra</w:t>
      </w:r>
    </w:p>
    <w:p w14:paraId="39C5010B"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E5 Elektrické zariadenia napájané z trakčného vedenia</w:t>
      </w:r>
    </w:p>
    <w:p w14:paraId="55C5C77B"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E9 Náhradné zdroje elektrickej energie na prevádzkovanie dráhy</w:t>
      </w:r>
    </w:p>
    <w:p w14:paraId="1F829446"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E11 Zariadenia na ochranu pred účinkami atmosférickej a statickej elektriny</w:t>
      </w:r>
    </w:p>
    <w:p w14:paraId="6F7F0C0E" w14:textId="77777777" w:rsidR="00205D55" w:rsidRPr="00896DD6" w:rsidRDefault="00205D55" w:rsidP="00896DD6">
      <w:pPr>
        <w:pStyle w:val="Odsekzoznamu"/>
        <w:tabs>
          <w:tab w:val="left" w:pos="2410"/>
        </w:tabs>
        <w:ind w:left="993"/>
        <w:jc w:val="both"/>
        <w:rPr>
          <w:rFonts w:ascii="Garamond" w:hAnsi="Garamond" w:cstheme="minorHAnsi"/>
          <w:sz w:val="22"/>
          <w:szCs w:val="22"/>
          <w:lang w:eastAsia="sk-SK"/>
        </w:rPr>
      </w:pPr>
      <w:r w:rsidRPr="00896DD6">
        <w:rPr>
          <w:rFonts w:ascii="Garamond" w:hAnsi="Garamond" w:cstheme="minorHAnsi"/>
          <w:sz w:val="22"/>
          <w:szCs w:val="22"/>
          <w:lang w:eastAsia="sk-SK"/>
        </w:rPr>
        <w:t>E12 Zariadenia na ochranu pred negatívnymi účinkami spätných trakčných prúdov</w:t>
      </w:r>
    </w:p>
    <w:p w14:paraId="77FE71FD" w14:textId="77777777" w:rsidR="00205D55" w:rsidRPr="00896DD6" w:rsidRDefault="00205D55" w:rsidP="00896DD6">
      <w:pPr>
        <w:pStyle w:val="Odsekzoznamu"/>
        <w:numPr>
          <w:ilvl w:val="0"/>
          <w:numId w:val="41"/>
        </w:numPr>
        <w:tabs>
          <w:tab w:val="clear" w:pos="2160"/>
          <w:tab w:val="clear" w:pos="2880"/>
          <w:tab w:val="clear" w:pos="4500"/>
          <w:tab w:val="left" w:pos="344"/>
        </w:tabs>
        <w:autoSpaceDE w:val="0"/>
        <w:spacing w:after="200" w:line="276" w:lineRule="auto"/>
        <w:jc w:val="both"/>
        <w:rPr>
          <w:rFonts w:ascii="Garamond" w:hAnsi="Garamond" w:cs="Calibri"/>
          <w:sz w:val="22"/>
          <w:szCs w:val="22"/>
          <w:lang w:eastAsia="sk-SK"/>
        </w:rPr>
      </w:pPr>
      <w:r w:rsidRPr="00896DD6">
        <w:rPr>
          <w:rFonts w:ascii="Garamond" w:hAnsi="Garamond" w:cs="Calibri"/>
          <w:sz w:val="22"/>
          <w:szCs w:val="22"/>
          <w:lang w:eastAsia="sk-SK"/>
        </w:rPr>
        <w:t>profesijný životopis so zoznamom odborných skúseností preukazujúcich požadovanú odbornú prax, v takom rozsahu, aby bolo možné posúdiť splnenie podmienky účasti.</w:t>
      </w:r>
    </w:p>
    <w:p w14:paraId="18CE30A5" w14:textId="77777777" w:rsidR="00205D55" w:rsidRPr="00205D55" w:rsidRDefault="00205D55" w:rsidP="00205D55">
      <w:pPr>
        <w:pStyle w:val="Odsekzoznamu"/>
        <w:tabs>
          <w:tab w:val="left" w:pos="2410"/>
        </w:tabs>
        <w:ind w:left="993"/>
        <w:rPr>
          <w:rFonts w:ascii="Garamond" w:hAnsi="Garamond" w:cstheme="minorHAnsi"/>
          <w:sz w:val="22"/>
          <w:szCs w:val="22"/>
          <w:lang w:eastAsia="sk-SK"/>
        </w:rPr>
      </w:pPr>
    </w:p>
    <w:p w14:paraId="5D3F910C" w14:textId="47611759" w:rsidR="006041AC" w:rsidRPr="00205D55" w:rsidRDefault="006041AC" w:rsidP="006041AC">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05D55">
        <w:rPr>
          <w:rFonts w:ascii="Garamond" w:hAnsi="Garamond" w:cs="Calibri"/>
          <w:sz w:val="22"/>
          <w:szCs w:val="22"/>
          <w:lang w:eastAsia="sk-SK"/>
        </w:rPr>
        <w:t>ust</w:t>
      </w:r>
      <w:proofErr w:type="spellEnd"/>
      <w:r w:rsidRPr="00205D55">
        <w:rPr>
          <w:rFonts w:ascii="Garamond" w:hAnsi="Garamond" w:cs="Calibri"/>
          <w:sz w:val="22"/>
          <w:szCs w:val="22"/>
          <w:lang w:eastAsia="sk-SK"/>
        </w:rPr>
        <w:t>. § 34 ods. 1 písm. g) ZVO uchádzač alebo záujemca môže využiť kapacity inej osoby len, ak táto bude reálne vykonávať stavebné práce alebo služby, na ktoré sa kapacity vyžadujú.</w:t>
      </w:r>
    </w:p>
    <w:p w14:paraId="6AAC5466" w14:textId="77777777" w:rsidR="006041AC" w:rsidRPr="00205D55" w:rsidRDefault="006041AC" w:rsidP="006041AC">
      <w:pPr>
        <w:pStyle w:val="Default"/>
        <w:spacing w:line="276" w:lineRule="auto"/>
        <w:jc w:val="both"/>
        <w:rPr>
          <w:rFonts w:ascii="Garamond" w:hAnsi="Garamond" w:cs="Calibri"/>
          <w:b/>
          <w:color w:val="auto"/>
          <w:sz w:val="22"/>
          <w:szCs w:val="22"/>
        </w:rPr>
      </w:pPr>
    </w:p>
    <w:p w14:paraId="59D57013" w14:textId="77777777" w:rsidR="006041AC" w:rsidRPr="00205D55"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2"/>
          <w:szCs w:val="22"/>
          <w:lang w:eastAsia="sk-SK"/>
        </w:rPr>
      </w:pPr>
    </w:p>
    <w:p w14:paraId="71E0731E" w14:textId="77777777" w:rsidR="004A280C" w:rsidRPr="00205D55" w:rsidRDefault="004A280C" w:rsidP="004A280C">
      <w:pPr>
        <w:pStyle w:val="Odsekzoznamu"/>
        <w:tabs>
          <w:tab w:val="left" w:pos="344"/>
        </w:tabs>
        <w:autoSpaceDE w:val="0"/>
        <w:spacing w:line="276" w:lineRule="auto"/>
        <w:ind w:left="720"/>
        <w:jc w:val="both"/>
        <w:rPr>
          <w:rFonts w:ascii="Garamond" w:hAnsi="Garamond" w:cs="Calibri"/>
          <w:sz w:val="22"/>
          <w:szCs w:val="22"/>
          <w:lang w:eastAsia="sk-SK"/>
        </w:rPr>
      </w:pPr>
    </w:p>
    <w:p w14:paraId="48A21938" w14:textId="5C7CCFAA" w:rsidR="00515B2F" w:rsidRPr="00205D55" w:rsidRDefault="00515B2F" w:rsidP="00515B2F">
      <w:pPr>
        <w:jc w:val="both"/>
        <w:rPr>
          <w:rFonts w:ascii="Garamond" w:hAnsi="Garamond"/>
          <w:sz w:val="22"/>
          <w:szCs w:val="22"/>
        </w:rPr>
      </w:pPr>
    </w:p>
    <w:sectPr w:rsidR="00515B2F" w:rsidRPr="00205D55"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2" w:author="" w:date="2005-03-03T15:40:00Z"/>
      </w:numPr>
    </w:pPr>
  </w:p>
  <w:p w14:paraId="268F8457" w14:textId="77777777" w:rsidR="000364E7" w:rsidRDefault="000364E7">
    <w:pPr>
      <w:numPr>
        <w:ins w:id="3" w:author="" w:date="2005-03-03T15:40:00Z"/>
      </w:numPr>
    </w:pPr>
  </w:p>
  <w:p w14:paraId="6AD4D040" w14:textId="77777777" w:rsidR="000364E7" w:rsidRDefault="000364E7">
    <w:pPr>
      <w:numPr>
        <w:ins w:id="4" w:author="" w:date="2005-03-03T15:40:00Z"/>
      </w:numPr>
    </w:pPr>
  </w:p>
  <w:p w14:paraId="01460E81" w14:textId="77777777" w:rsidR="000364E7" w:rsidRDefault="000364E7">
    <w:pPr>
      <w:numPr>
        <w:ins w:id="5" w:author="" w:date="2005-03-03T15:40:00Z"/>
      </w:numPr>
    </w:pPr>
  </w:p>
  <w:p w14:paraId="77A72A06" w14:textId="77777777" w:rsidR="000364E7" w:rsidRDefault="000364E7">
    <w:pPr>
      <w:numPr>
        <w:ins w:id="6" w:author="" w:date="2005-03-03T15:40:00Z"/>
      </w:numPr>
    </w:pPr>
  </w:p>
  <w:p w14:paraId="63042D1A" w14:textId="77777777" w:rsidR="000364E7" w:rsidRDefault="000364E7">
    <w:pPr>
      <w:numPr>
        <w:ins w:id="7" w:author="" w:date="2005-03-03T15:40:00Z"/>
      </w:numPr>
    </w:pPr>
  </w:p>
  <w:p w14:paraId="32432CAA" w14:textId="77777777" w:rsidR="000364E7" w:rsidRDefault="000364E7">
    <w:pPr>
      <w:numPr>
        <w:ins w:id="8" w:author="" w:date="2005-03-03T15:40:00Z"/>
      </w:numPr>
    </w:pPr>
  </w:p>
  <w:p w14:paraId="56155704" w14:textId="77777777" w:rsidR="000364E7" w:rsidRDefault="000364E7">
    <w:pPr>
      <w:numPr>
        <w:ins w:id="9" w:author="" w:date="2005-03-03T15:40:00Z"/>
      </w:numPr>
    </w:pPr>
  </w:p>
  <w:p w14:paraId="0BB80574" w14:textId="77777777" w:rsidR="000364E7" w:rsidRDefault="000364E7">
    <w:pPr>
      <w:numPr>
        <w:ins w:id="10" w:author="" w:date="2005-03-03T15:40:00Z"/>
      </w:numPr>
    </w:pPr>
  </w:p>
  <w:p w14:paraId="2DB5F42E" w14:textId="77777777" w:rsidR="000364E7" w:rsidRDefault="000364E7">
    <w:pPr>
      <w:numPr>
        <w:ins w:id="11" w:author="" w:date="2005-03-03T15:40:00Z"/>
      </w:numPr>
    </w:pPr>
  </w:p>
  <w:p w14:paraId="386555AA" w14:textId="77777777" w:rsidR="000364E7" w:rsidRDefault="000364E7">
    <w:pPr>
      <w:numPr>
        <w:ins w:id="12" w:author="" w:date="2005-03-03T15:40:00Z"/>
      </w:numPr>
    </w:pPr>
  </w:p>
  <w:p w14:paraId="22942324" w14:textId="77777777" w:rsidR="000364E7" w:rsidRDefault="000364E7">
    <w:pPr>
      <w:numPr>
        <w:ins w:id="13" w:author="" w:date="2005-03-03T15:40:00Z"/>
      </w:numPr>
    </w:pPr>
  </w:p>
  <w:p w14:paraId="2814E163" w14:textId="77777777" w:rsidR="000364E7" w:rsidRDefault="000364E7">
    <w:pPr>
      <w:numPr>
        <w:ins w:id="14" w:author="" w:date="2005-03-03T15:40:00Z"/>
      </w:numPr>
    </w:pPr>
  </w:p>
  <w:p w14:paraId="44176D7A" w14:textId="77777777" w:rsidR="000364E7" w:rsidRDefault="000364E7">
    <w:pPr>
      <w:numPr>
        <w:ins w:id="15" w:author="" w:date="2005-03-03T15:40:00Z"/>
      </w:numPr>
    </w:pPr>
  </w:p>
  <w:p w14:paraId="51CFCB58" w14:textId="77777777" w:rsidR="000364E7" w:rsidRDefault="000364E7">
    <w:pPr>
      <w:numPr>
        <w:ins w:id="16" w:author="" w:date="2005-03-03T15:40:00Z"/>
      </w:numPr>
    </w:pPr>
  </w:p>
  <w:p w14:paraId="2BB8C9A2" w14:textId="77777777" w:rsidR="000364E7" w:rsidRDefault="000364E7">
    <w:pPr>
      <w:numPr>
        <w:ins w:id="17" w:author="Unknown"/>
      </w:numPr>
    </w:pPr>
  </w:p>
  <w:p w14:paraId="6B1C1D72" w14:textId="77777777" w:rsidR="000364E7" w:rsidRDefault="000364E7">
    <w:pPr>
      <w:numPr>
        <w:ins w:id="18" w:author="Unknown"/>
      </w:numPr>
    </w:pPr>
  </w:p>
  <w:p w14:paraId="30A29733" w14:textId="77777777" w:rsidR="000364E7" w:rsidRDefault="000364E7">
    <w:pPr>
      <w:numPr>
        <w:ins w:id="19" w:author="Unknown"/>
      </w:numPr>
    </w:pPr>
  </w:p>
  <w:p w14:paraId="688F51DF" w14:textId="77777777" w:rsidR="000364E7" w:rsidRDefault="000364E7">
    <w:pPr>
      <w:numPr>
        <w:ins w:id="20" w:author="Unknown"/>
      </w:numPr>
    </w:pPr>
  </w:p>
  <w:p w14:paraId="5D44C9C0" w14:textId="77777777" w:rsidR="000364E7" w:rsidRDefault="000364E7">
    <w:pPr>
      <w:numPr>
        <w:ins w:id="21" w:author="Unknown"/>
      </w:numPr>
    </w:pPr>
  </w:p>
  <w:p w14:paraId="32FCC09D" w14:textId="77777777" w:rsidR="000364E7" w:rsidRDefault="000364E7">
    <w:pPr>
      <w:numPr>
        <w:ins w:id="22"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3"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0"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4"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30"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0" w15:restartNumberingAfterBreak="0">
    <w:nsid w:val="6D3C5EB8"/>
    <w:multiLevelType w:val="hybridMultilevel"/>
    <w:tmpl w:val="2208E3D8"/>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047F20"/>
    <w:multiLevelType w:val="hybridMultilevel"/>
    <w:tmpl w:val="EE9EB982"/>
    <w:lvl w:ilvl="0" w:tplc="488CA3AC">
      <w:start w:val="1"/>
      <w:numFmt w:val="lowerLetter"/>
      <w:lvlText w:val="%1)"/>
      <w:lvlJc w:val="left"/>
      <w:pPr>
        <w:ind w:left="1287" w:hanging="360"/>
      </w:pPr>
      <w:rPr>
        <w:rFonts w:hint="default"/>
        <w:b/>
      </w:rPr>
    </w:lvl>
    <w:lvl w:ilvl="1" w:tplc="3DBA6640">
      <w:start w:val="1"/>
      <w:numFmt w:val="lowerLetter"/>
      <w:lvlText w:val="%2)"/>
      <w:lvlJc w:val="left"/>
      <w:pPr>
        <w:ind w:left="2007" w:hanging="360"/>
      </w:pPr>
      <w:rPr>
        <w:b/>
        <w:bCs/>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8"/>
  </w:num>
  <w:num w:numId="2">
    <w:abstractNumId w:val="29"/>
  </w:num>
  <w:num w:numId="3">
    <w:abstractNumId w:val="45"/>
  </w:num>
  <w:num w:numId="4">
    <w:abstractNumId w:val="46"/>
  </w:num>
  <w:num w:numId="5">
    <w:abstractNumId w:val="2"/>
  </w:num>
  <w:num w:numId="6">
    <w:abstractNumId w:val="26"/>
  </w:num>
  <w:num w:numId="7">
    <w:abstractNumId w:val="11"/>
  </w:num>
  <w:num w:numId="8">
    <w:abstractNumId w:val="15"/>
  </w:num>
  <w:num w:numId="9">
    <w:abstractNumId w:val="24"/>
  </w:num>
  <w:num w:numId="10">
    <w:abstractNumId w:val="35"/>
  </w:num>
  <w:num w:numId="11">
    <w:abstractNumId w:val="25"/>
  </w:num>
  <w:num w:numId="12">
    <w:abstractNumId w:val="6"/>
  </w:num>
  <w:num w:numId="13">
    <w:abstractNumId w:val="19"/>
  </w:num>
  <w:num w:numId="14">
    <w:abstractNumId w:val="36"/>
  </w:num>
  <w:num w:numId="15">
    <w:abstractNumId w:val="16"/>
  </w:num>
  <w:num w:numId="16">
    <w:abstractNumId w:val="18"/>
  </w:num>
  <w:num w:numId="17">
    <w:abstractNumId w:val="23"/>
  </w:num>
  <w:num w:numId="18">
    <w:abstractNumId w:val="28"/>
  </w:num>
  <w:num w:numId="19">
    <w:abstractNumId w:val="42"/>
  </w:num>
  <w:num w:numId="20">
    <w:abstractNumId w:val="3"/>
  </w:num>
  <w:num w:numId="21">
    <w:abstractNumId w:val="41"/>
  </w:num>
  <w:num w:numId="22">
    <w:abstractNumId w:val="5"/>
  </w:num>
  <w:num w:numId="23">
    <w:abstractNumId w:val="32"/>
  </w:num>
  <w:num w:numId="24">
    <w:abstractNumId w:val="20"/>
  </w:num>
  <w:num w:numId="25">
    <w:abstractNumId w:val="34"/>
  </w:num>
  <w:num w:numId="26">
    <w:abstractNumId w:val="37"/>
  </w:num>
  <w:num w:numId="27">
    <w:abstractNumId w:val="22"/>
  </w:num>
  <w:num w:numId="28">
    <w:abstractNumId w:val="21"/>
  </w:num>
  <w:num w:numId="29">
    <w:abstractNumId w:val="27"/>
  </w:num>
  <w:num w:numId="30">
    <w:abstractNumId w:val="14"/>
  </w:num>
  <w:num w:numId="31">
    <w:abstractNumId w:val="12"/>
  </w:num>
  <w:num w:numId="32">
    <w:abstractNumId w:val="33"/>
    <w:lvlOverride w:ilvl="0">
      <w:startOverride w:val="1"/>
    </w:lvlOverride>
  </w:num>
  <w:num w:numId="33">
    <w:abstractNumId w:val="47"/>
  </w:num>
  <w:num w:numId="34">
    <w:abstractNumId w:val="31"/>
  </w:num>
  <w:num w:numId="35">
    <w:abstractNumId w:val="17"/>
  </w:num>
  <w:num w:numId="36">
    <w:abstractNumId w:val="13"/>
  </w:num>
  <w:num w:numId="37">
    <w:abstractNumId w:val="9"/>
  </w:num>
  <w:num w:numId="38">
    <w:abstractNumId w:val="43"/>
  </w:num>
  <w:num w:numId="39">
    <w:abstractNumId w:val="10"/>
  </w:num>
  <w:num w:numId="40">
    <w:abstractNumId w:val="7"/>
  </w:num>
  <w:num w:numId="41">
    <w:abstractNumId w:val="4"/>
  </w:num>
  <w:num w:numId="42">
    <w:abstractNumId w:val="1"/>
  </w:num>
  <w:num w:numId="43">
    <w:abstractNumId w:val="30"/>
  </w:num>
  <w:num w:numId="44">
    <w:abstractNumId w:val="39"/>
  </w:num>
  <w:num w:numId="45">
    <w:abstractNumId w:val="44"/>
  </w:num>
  <w:num w:numId="46">
    <w:abstractNumId w:val="40"/>
  </w:num>
  <w:num w:numId="4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5D55"/>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6DD6"/>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table" w:customStyle="1" w:styleId="Mriekatabuky1">
    <w:name w:val="Mriežka tabuľky1"/>
    <w:basedOn w:val="Normlnatabuka"/>
    <w:next w:val="Mriekatabuky"/>
    <w:uiPriority w:val="59"/>
    <w:unhideWhenUsed/>
    <w:rsid w:val="00205D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1790</Words>
  <Characters>10203</Characters>
  <Application>Microsoft Office Word</Application>
  <DocSecurity>0</DocSecurity>
  <Lines>85</Lines>
  <Paragraphs>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Juhászová Kristína</cp:lastModifiedBy>
  <cp:revision>10</cp:revision>
  <cp:lastPrinted>2019-04-02T11:37:00Z</cp:lastPrinted>
  <dcterms:created xsi:type="dcterms:W3CDTF">2019-08-19T20:29:00Z</dcterms:created>
  <dcterms:modified xsi:type="dcterms:W3CDTF">2022-01-24T08:46:00Z</dcterms:modified>
</cp:coreProperties>
</file>