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CCC6DE4"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č.12 -14/9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B845C1B" w:rsidR="0070009F" w:rsidRPr="000E6197" w:rsidRDefault="0070009F" w:rsidP="003F7FDE">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 xml:space="preserve">uvedených vo výzve </w:t>
      </w:r>
      <w:r w:rsidR="00E9648E" w:rsidRPr="00F04D11">
        <w:rPr>
          <w:rFonts w:ascii="Arial" w:hAnsi="Arial" w:cs="Arial"/>
          <w:sz w:val="20"/>
          <w:lang w:val="sk-SK"/>
        </w:rPr>
        <w:t>s názvom „</w:t>
      </w:r>
      <w:r w:rsidR="00E9648E" w:rsidRPr="00F04D11">
        <w:rPr>
          <w:rFonts w:ascii="Arial" w:hAnsi="Arial" w:cs="Arial"/>
          <w:b/>
          <w:sz w:val="20"/>
          <w:lang w:val="sk-SK"/>
        </w:rPr>
        <w:t xml:space="preserve">Ťažbová činnosť na OZ Horehronie, LS Beňuš, VC-5 </w:t>
      </w:r>
      <w:proofErr w:type="spellStart"/>
      <w:r w:rsidR="00E9648E" w:rsidRPr="00F04D11">
        <w:rPr>
          <w:rFonts w:ascii="Arial" w:hAnsi="Arial" w:cs="Arial"/>
          <w:b/>
          <w:sz w:val="20"/>
          <w:lang w:val="sk-SK"/>
        </w:rPr>
        <w:t>Tajch</w:t>
      </w:r>
      <w:proofErr w:type="spellEnd"/>
      <w:r w:rsidR="00E9648E" w:rsidRPr="00F04D11">
        <w:rPr>
          <w:rFonts w:ascii="Arial" w:hAnsi="Arial" w:cs="Arial"/>
          <w:b/>
          <w:sz w:val="20"/>
          <w:lang w:val="sk-SK"/>
        </w:rPr>
        <w:t xml:space="preserve"> - výzva č. 12- 14/9</w:t>
      </w:r>
      <w:r w:rsidR="00E9648E" w:rsidRPr="00F04D11">
        <w:rPr>
          <w:rFonts w:ascii="Arial" w:hAnsi="Arial" w:cs="Arial"/>
          <w:sz w:val="20"/>
          <w:lang w:val="sk-SK"/>
        </w:rPr>
        <w:t>“</w:t>
      </w:r>
      <w:r w:rsidR="00E9648E" w:rsidRPr="00F04D11">
        <w:rPr>
          <w:rFonts w:ascii="Arial" w:hAnsi="Arial" w:cs="Arial"/>
          <w:sz w:val="20"/>
          <w:lang w:val="sk-SK"/>
        </w:rPr>
        <w:t xml:space="preserve">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03D116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F04D11">
        <w:rPr>
          <w:rFonts w:ascii="Arial" w:hAnsi="Arial" w:cs="Arial"/>
          <w:b/>
          <w:sz w:val="20"/>
          <w:highlight w:val="yellow"/>
          <w:lang w:val="sk-SK"/>
        </w:rPr>
        <w:t>1</w:t>
      </w:r>
      <w:r w:rsidR="009D0258" w:rsidRPr="00FA6CE6">
        <w:rPr>
          <w:rFonts w:ascii="Arial" w:hAnsi="Arial" w:cs="Arial"/>
          <w:b/>
          <w:sz w:val="20"/>
          <w:highlight w:val="yellow"/>
          <w:lang w:val="sk-SK"/>
        </w:rPr>
        <w:t>.</w:t>
      </w:r>
      <w:r w:rsidR="00F04D11">
        <w:rPr>
          <w:rFonts w:ascii="Arial" w:hAnsi="Arial" w:cs="Arial"/>
          <w:b/>
          <w:sz w:val="20"/>
          <w:highlight w:val="yellow"/>
          <w:lang w:val="sk-SK"/>
        </w:rPr>
        <w:t>8</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bookmarkStart w:id="1" w:name="_GoBack"/>
      <w:bookmarkEnd w:id="1"/>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09A16" w14:textId="77777777" w:rsidR="00FB40A5" w:rsidRDefault="00FB40A5">
      <w:r>
        <w:separator/>
      </w:r>
    </w:p>
  </w:endnote>
  <w:endnote w:type="continuationSeparator" w:id="0">
    <w:p w14:paraId="00A0FF48" w14:textId="77777777" w:rsidR="00FB40A5" w:rsidRDefault="00FB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A8DAA1D" w:rsidR="00FA6CE6" w:rsidRDefault="00FA6CE6">
        <w:pPr>
          <w:pStyle w:val="Pta"/>
          <w:jc w:val="right"/>
        </w:pPr>
        <w:r>
          <w:fldChar w:fldCharType="begin"/>
        </w:r>
        <w:r>
          <w:instrText>PAGE   \* MERGEFORMAT</w:instrText>
        </w:r>
        <w:r>
          <w:fldChar w:fldCharType="separate"/>
        </w:r>
        <w:r w:rsidR="00203EAB">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82497" w14:textId="77777777" w:rsidR="00FB40A5" w:rsidRDefault="00FB40A5">
      <w:r>
        <w:separator/>
      </w:r>
    </w:p>
  </w:footnote>
  <w:footnote w:type="continuationSeparator" w:id="0">
    <w:p w14:paraId="5D69440A" w14:textId="77777777" w:rsidR="00FB40A5" w:rsidRDefault="00FB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B188-4A99-4AC1-8A88-564A0393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5172</Words>
  <Characters>29483</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15</cp:revision>
  <cp:lastPrinted>2020-05-15T08:49:00Z</cp:lastPrinted>
  <dcterms:created xsi:type="dcterms:W3CDTF">2021-03-18T13:24:00Z</dcterms:created>
  <dcterms:modified xsi:type="dcterms:W3CDTF">2022-03-21T13:16:00Z</dcterms:modified>
</cp:coreProperties>
</file>