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BA3833">
        <w:rPr>
          <w:rFonts w:ascii="Arial" w:hAnsi="Arial" w:cs="Arial"/>
          <w:b/>
          <w:sz w:val="32"/>
          <w:szCs w:val="32"/>
          <w:lang w:val="sk-SK"/>
        </w:rPr>
        <w:t>4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 :  </w:t>
      </w:r>
      <w:r w:rsidR="00F87440" w:rsidRPr="00F87440">
        <w:rPr>
          <w:rFonts w:ascii="Arial" w:hAnsi="Arial" w:cs="Arial"/>
          <w:lang w:val="sk-SK"/>
        </w:rPr>
        <w:t>Obstaranie súboru technológií do konzervárenskej výroby</w:t>
      </w:r>
      <w:r w:rsidR="00743407">
        <w:rPr>
          <w:rFonts w:ascii="Arial" w:hAnsi="Arial" w:cs="Arial"/>
          <w:lang w:val="sk-SK"/>
        </w:rPr>
        <w:t xml:space="preserve">,   </w:t>
      </w:r>
      <w:r w:rsidR="00255C06" w:rsidRPr="00255C06">
        <w:rPr>
          <w:rFonts w:ascii="Arial" w:hAnsi="Arial" w:cs="Arial"/>
          <w:b/>
          <w:lang w:val="sk-SK"/>
        </w:rPr>
        <w:t>Logický celok: Rezačka zeleniny s</w:t>
      </w:r>
      <w:r w:rsidR="00F87440">
        <w:rPr>
          <w:rFonts w:ascii="Arial" w:hAnsi="Arial" w:cs="Arial"/>
          <w:b/>
          <w:lang w:val="sk-SK"/>
        </w:rPr>
        <w:t> </w:t>
      </w:r>
      <w:r w:rsidR="00255C06" w:rsidRPr="00255C06">
        <w:rPr>
          <w:rFonts w:ascii="Arial" w:hAnsi="Arial" w:cs="Arial"/>
          <w:b/>
          <w:lang w:val="sk-SK"/>
        </w:rPr>
        <w:t>príslušenstvom</w:t>
      </w:r>
    </w:p>
    <w:p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:rsidR="001F1829" w:rsidRPr="005D1589" w:rsidRDefault="00BA3833" w:rsidP="001F1829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bookmarkStart w:id="0" w:name="_GoBack"/>
      <w:r w:rsidRPr="005D1589">
        <w:rPr>
          <w:rFonts w:ascii="Arial" w:hAnsi="Arial" w:cs="Arial"/>
          <w:sz w:val="18"/>
          <w:szCs w:val="18"/>
          <w:lang w:val="sk-SK"/>
        </w:rPr>
        <w:t xml:space="preserve">( </w:t>
      </w:r>
      <w:r w:rsidR="005D1589" w:rsidRPr="005D1589">
        <w:rPr>
          <w:rFonts w:ascii="Arial" w:hAnsi="Arial" w:cs="Arial"/>
          <w:sz w:val="18"/>
          <w:szCs w:val="18"/>
          <w:lang w:val="sk-SK"/>
        </w:rPr>
        <w:t>*údaje o osobe oprávnenej konať za subdodávateľa v rozsahu meno a priezvisko, adresa t</w:t>
      </w:r>
      <w:r w:rsidR="005D1589"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="005D1589"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0"/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5D1589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F87440">
      <w:rPr>
        <w:i/>
        <w:sz w:val="18"/>
      </w:rPr>
      <w:t>4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5D1589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434061"/>
    <w:rsid w:val="00454E82"/>
    <w:rsid w:val="004975B2"/>
    <w:rsid w:val="005D1589"/>
    <w:rsid w:val="00743407"/>
    <w:rsid w:val="00805713"/>
    <w:rsid w:val="00851271"/>
    <w:rsid w:val="008877F8"/>
    <w:rsid w:val="008911B9"/>
    <w:rsid w:val="0099632E"/>
    <w:rsid w:val="009F089D"/>
    <w:rsid w:val="00AE2001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Erika Keresztesova</cp:lastModifiedBy>
  <cp:revision>6</cp:revision>
  <cp:lastPrinted>2017-02-09T15:18:00Z</cp:lastPrinted>
  <dcterms:created xsi:type="dcterms:W3CDTF">2022-05-03T13:42:00Z</dcterms:created>
  <dcterms:modified xsi:type="dcterms:W3CDTF">2022-05-05T11:53:00Z</dcterms:modified>
</cp:coreProperties>
</file>