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380A79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SPECYFIKACJA TECHNICZNA WYKONANIA I ODBIORU ROBÓT BUDOWLANYCH</w:t>
      </w:r>
    </w:p>
    <w:p w:rsidR="007904E3" w:rsidRDefault="007904E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:rsidR="007904E3" w:rsidRDefault="00380A79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ST-</w:t>
      </w:r>
      <w:r w:rsidR="000407EB"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-0</w:t>
      </w:r>
      <w:r w:rsidR="000407EB">
        <w:rPr>
          <w:rFonts w:ascii="Arial" w:hAnsi="Arial" w:cs="Arial"/>
          <w:b/>
          <w:bCs/>
          <w:sz w:val="20"/>
          <w:szCs w:val="20"/>
        </w:rPr>
        <w:t>1</w:t>
      </w:r>
    </w:p>
    <w:p w:rsidR="007904E3" w:rsidRDefault="007904E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:rsidR="007904E3" w:rsidRDefault="000407EB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BRANŻA ELEKTRYCZNA</w:t>
      </w:r>
    </w:p>
    <w:p w:rsidR="007904E3" w:rsidRDefault="007904E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:rsidR="007904E3" w:rsidRDefault="00380A79">
      <w:pPr>
        <w:rPr>
          <w:rFonts w:ascii="Arial" w:hAnsi="Arial" w:cs="Arial"/>
          <w:b/>
          <w:sz w:val="20"/>
          <w:szCs w:val="20"/>
          <w:lang w:bidi="ar-SA"/>
        </w:rPr>
      </w:pPr>
      <w:r>
        <w:rPr>
          <w:rFonts w:ascii="Arial" w:hAnsi="Arial" w:cs="Arial"/>
          <w:b/>
          <w:sz w:val="20"/>
          <w:szCs w:val="20"/>
          <w:lang w:bidi="ar-SA"/>
        </w:rPr>
        <w:t>CPV 45316110-9  Instalowanie urządzeń oświetlenia drogowego</w:t>
      </w:r>
    </w:p>
    <w:p w:rsidR="007904E3" w:rsidRDefault="007904E3">
      <w:pPr>
        <w:rPr>
          <w:rFonts w:ascii="Arial" w:hAnsi="Arial" w:cs="Arial"/>
          <w:b/>
          <w:bCs/>
          <w:sz w:val="20"/>
          <w:szCs w:val="20"/>
        </w:rPr>
      </w:pPr>
    </w:p>
    <w:p w:rsidR="007904E3" w:rsidRDefault="007904E3">
      <w:pPr>
        <w:pBdr>
          <w:top w:val="single" w:sz="6" w:space="0" w:color="000001"/>
        </w:pBdr>
        <w:tabs>
          <w:tab w:val="left" w:pos="284"/>
          <w:tab w:val="right" w:leader="dot" w:pos="8789"/>
        </w:tabs>
        <w:ind w:right="11" w:firstLine="6"/>
        <w:jc w:val="center"/>
        <w:rPr>
          <w:rFonts w:ascii="Arial" w:eastAsia="Arial" w:hAnsi="Arial" w:cs="Arial"/>
          <w:b/>
          <w:bCs/>
          <w:sz w:val="16"/>
          <w:szCs w:val="16"/>
        </w:rPr>
      </w:pPr>
    </w:p>
    <w:p w:rsidR="007904E3" w:rsidRDefault="00380A79">
      <w:pPr>
        <w:pBdr>
          <w:top w:val="single" w:sz="6" w:space="0" w:color="000001"/>
        </w:pBdr>
        <w:tabs>
          <w:tab w:val="left" w:pos="284"/>
          <w:tab w:val="right" w:leader="dot" w:pos="8789"/>
        </w:tabs>
        <w:ind w:right="11" w:firstLine="6"/>
        <w:jc w:val="center"/>
      </w:pPr>
      <w:r>
        <w:rPr>
          <w:rFonts w:ascii="Arial" w:eastAsia="Arial" w:hAnsi="Arial" w:cs="Arial"/>
          <w:b/>
          <w:bCs/>
          <w:sz w:val="16"/>
          <w:szCs w:val="16"/>
        </w:rPr>
        <w:t>„</w:t>
      </w:r>
      <w:r>
        <w:rPr>
          <w:rFonts w:ascii="Arial" w:eastAsia="MS Mincho;ＭＳ 明朝" w:hAnsi="Arial" w:cs="Arial"/>
          <w:b/>
          <w:bCs/>
          <w:sz w:val="16"/>
          <w:szCs w:val="16"/>
        </w:rPr>
        <w:t>Budowa chodnika w ciągu drogi wojewódzkiej nr 911 łączącego miejscowość Orzech w Gminie Świerklaniec z Miastem Piekary Śląskie, na działkach o numerach ewidencyjnych 130/49 obręb Kozłowa Góra, gm. Piekary Śląskie; 180/4 i 865/6 obręb Orzech, gm. Świerklaniec - ETAP I”</w:t>
      </w: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b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sz w:val="20"/>
          <w:szCs w:val="20"/>
        </w:rPr>
      </w:pPr>
    </w:p>
    <w:p w:rsidR="007904E3" w:rsidRDefault="007904E3">
      <w:pPr>
        <w:jc w:val="center"/>
        <w:rPr>
          <w:rFonts w:ascii="Arial" w:hAnsi="Arial" w:cs="Arial"/>
          <w:sz w:val="20"/>
          <w:szCs w:val="20"/>
        </w:rPr>
      </w:pPr>
    </w:p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7904E3">
      <w:pPr>
        <w:pStyle w:val="Heading1"/>
        <w:rPr>
          <w:rFonts w:ascii="Arial" w:hAnsi="Arial" w:cs="Arial"/>
          <w:sz w:val="20"/>
          <w:szCs w:val="20"/>
        </w:rPr>
      </w:pPr>
      <w:bookmarkStart w:id="0" w:name="_Toc404150096"/>
      <w:bookmarkStart w:id="1" w:name="_Toc416830698"/>
      <w:bookmarkStart w:id="2" w:name="_Toc451138863"/>
      <w:bookmarkEnd w:id="0"/>
      <w:bookmarkEnd w:id="1"/>
      <w:bookmarkEnd w:id="2"/>
    </w:p>
    <w:p w:rsidR="007904E3" w:rsidRDefault="007904E3">
      <w:pPr>
        <w:pStyle w:val="Heading1"/>
        <w:rPr>
          <w:rFonts w:ascii="Arial" w:hAnsi="Arial" w:cs="Arial"/>
          <w:sz w:val="20"/>
          <w:szCs w:val="20"/>
        </w:rPr>
      </w:pPr>
    </w:p>
    <w:p w:rsidR="007904E3" w:rsidRDefault="007904E3">
      <w:pPr>
        <w:pStyle w:val="Heading1"/>
        <w:rPr>
          <w:rFonts w:ascii="Arial" w:hAnsi="Arial" w:cs="Arial"/>
          <w:sz w:val="20"/>
          <w:szCs w:val="20"/>
        </w:rPr>
      </w:pPr>
    </w:p>
    <w:p w:rsidR="007904E3" w:rsidRDefault="007904E3">
      <w:pPr>
        <w:pStyle w:val="Heading1"/>
        <w:rPr>
          <w:rFonts w:ascii="Arial" w:hAnsi="Arial" w:cs="Arial"/>
          <w:sz w:val="20"/>
          <w:szCs w:val="20"/>
        </w:rPr>
      </w:pPr>
    </w:p>
    <w:p w:rsidR="007904E3" w:rsidRDefault="007904E3">
      <w:pPr>
        <w:pStyle w:val="Heading1"/>
        <w:rPr>
          <w:rFonts w:ascii="Arial" w:hAnsi="Arial" w:cs="Arial"/>
          <w:sz w:val="20"/>
          <w:szCs w:val="20"/>
        </w:rPr>
      </w:pPr>
    </w:p>
    <w:p w:rsidR="007904E3" w:rsidRDefault="007904E3">
      <w:pPr>
        <w:pStyle w:val="Heading1"/>
        <w:rPr>
          <w:rFonts w:ascii="Arial" w:hAnsi="Arial" w:cs="Arial"/>
          <w:sz w:val="20"/>
          <w:szCs w:val="20"/>
        </w:rPr>
      </w:pPr>
    </w:p>
    <w:p w:rsidR="007904E3" w:rsidRDefault="007904E3">
      <w:pPr>
        <w:pStyle w:val="Heading1"/>
        <w:rPr>
          <w:rFonts w:ascii="Arial" w:hAnsi="Arial" w:cs="Arial"/>
          <w:sz w:val="20"/>
          <w:szCs w:val="20"/>
        </w:rPr>
      </w:pPr>
    </w:p>
    <w:p w:rsidR="007904E3" w:rsidRDefault="007904E3">
      <w:pPr>
        <w:pStyle w:val="Heading1"/>
        <w:rPr>
          <w:rFonts w:ascii="Arial" w:hAnsi="Arial" w:cs="Arial"/>
          <w:sz w:val="20"/>
          <w:szCs w:val="20"/>
        </w:rPr>
      </w:pPr>
    </w:p>
    <w:p w:rsidR="007904E3" w:rsidRDefault="007904E3">
      <w:pPr>
        <w:pStyle w:val="Heading1"/>
        <w:rPr>
          <w:rFonts w:ascii="Arial" w:hAnsi="Arial" w:cs="Arial"/>
          <w:sz w:val="20"/>
          <w:szCs w:val="20"/>
        </w:rPr>
      </w:pPr>
    </w:p>
    <w:p w:rsidR="007904E3" w:rsidRDefault="007904E3">
      <w:pPr>
        <w:pStyle w:val="Heading1"/>
        <w:rPr>
          <w:rFonts w:ascii="Arial" w:hAnsi="Arial" w:cs="Arial"/>
          <w:sz w:val="20"/>
          <w:szCs w:val="20"/>
        </w:rPr>
      </w:pPr>
    </w:p>
    <w:p w:rsidR="007904E3" w:rsidRDefault="007904E3">
      <w:pPr>
        <w:pStyle w:val="Heading1"/>
        <w:rPr>
          <w:rFonts w:ascii="Arial" w:hAnsi="Arial" w:cs="Arial"/>
          <w:sz w:val="20"/>
          <w:szCs w:val="20"/>
        </w:rPr>
      </w:pPr>
    </w:p>
    <w:p w:rsidR="007904E3" w:rsidRDefault="007904E3">
      <w:pPr>
        <w:tabs>
          <w:tab w:val="left" w:pos="2977"/>
        </w:tabs>
        <w:rPr>
          <w:rFonts w:ascii="Arial" w:hAnsi="Arial" w:cs="Arial"/>
          <w:sz w:val="20"/>
          <w:szCs w:val="20"/>
        </w:rPr>
      </w:pPr>
    </w:p>
    <w:p w:rsidR="007904E3" w:rsidRDefault="007904E3">
      <w:pPr>
        <w:tabs>
          <w:tab w:val="left" w:pos="2977"/>
        </w:tabs>
        <w:rPr>
          <w:rFonts w:ascii="Arial" w:hAnsi="Arial" w:cs="Arial"/>
          <w:sz w:val="20"/>
          <w:szCs w:val="20"/>
        </w:rPr>
      </w:pPr>
    </w:p>
    <w:p w:rsidR="007904E3" w:rsidRDefault="00380A79">
      <w:pPr>
        <w:tabs>
          <w:tab w:val="left" w:pos="2977"/>
        </w:tabs>
        <w:rPr>
          <w:rFonts w:ascii="Arial" w:eastAsia="MS Mincho;ＭＳ 明朝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</w:p>
    <w:p w:rsidR="007904E3" w:rsidRDefault="007904E3">
      <w:pPr>
        <w:tabs>
          <w:tab w:val="left" w:pos="2977"/>
        </w:tabs>
        <w:rPr>
          <w:rFonts w:ascii="Arial" w:eastAsia="MS Mincho;ＭＳ 明朝" w:hAnsi="Arial" w:cs="Arial"/>
          <w:b/>
          <w:bCs/>
          <w:sz w:val="20"/>
          <w:szCs w:val="20"/>
        </w:rPr>
      </w:pPr>
    </w:p>
    <w:p w:rsidR="007904E3" w:rsidRDefault="007904E3">
      <w:pPr>
        <w:pStyle w:val="Akapitzlist"/>
        <w:tabs>
          <w:tab w:val="left" w:pos="2977"/>
        </w:tabs>
        <w:ind w:left="284"/>
        <w:rPr>
          <w:rFonts w:ascii="Arial" w:eastAsia="MS Mincho;ＭＳ 明朝" w:hAnsi="Arial" w:cs="Arial"/>
          <w:b/>
          <w:bCs/>
          <w:sz w:val="20"/>
          <w:szCs w:val="20"/>
        </w:rPr>
      </w:pPr>
    </w:p>
    <w:p w:rsidR="007904E3" w:rsidRDefault="007904E3">
      <w:pPr>
        <w:pStyle w:val="Akapitzlist"/>
        <w:tabs>
          <w:tab w:val="left" w:pos="2977"/>
        </w:tabs>
        <w:ind w:left="284"/>
        <w:rPr>
          <w:rFonts w:ascii="Arial" w:eastAsia="MS Mincho;ＭＳ 明朝" w:hAnsi="Arial" w:cs="Arial"/>
          <w:b/>
          <w:bCs/>
          <w:sz w:val="20"/>
          <w:szCs w:val="20"/>
        </w:rPr>
      </w:pPr>
    </w:p>
    <w:p w:rsidR="007904E3" w:rsidRDefault="00380A79">
      <w:pPr>
        <w:pStyle w:val="Akapitzlist"/>
        <w:numPr>
          <w:ilvl w:val="0"/>
          <w:numId w:val="16"/>
        </w:numPr>
        <w:tabs>
          <w:tab w:val="left" w:pos="2977"/>
        </w:tabs>
        <w:ind w:left="284" w:hanging="284"/>
        <w:rPr>
          <w:rFonts w:ascii="Arial" w:eastAsia="MS Mincho;ＭＳ 明朝" w:hAnsi="Arial" w:cs="Arial"/>
          <w:b/>
          <w:bCs/>
          <w:sz w:val="20"/>
          <w:szCs w:val="20"/>
        </w:rPr>
      </w:pPr>
      <w:r>
        <w:rPr>
          <w:rFonts w:ascii="Arial" w:eastAsia="MS Mincho;ＭＳ 明朝" w:hAnsi="Arial" w:cs="Arial"/>
          <w:b/>
          <w:bCs/>
          <w:sz w:val="20"/>
          <w:szCs w:val="20"/>
        </w:rPr>
        <w:lastRenderedPageBreak/>
        <w:t>WSTĘP</w:t>
      </w:r>
    </w:p>
    <w:p w:rsidR="007904E3" w:rsidRDefault="007904E3">
      <w:pPr>
        <w:tabs>
          <w:tab w:val="left" w:pos="2977"/>
        </w:tabs>
        <w:rPr>
          <w:rFonts w:ascii="Arial" w:eastAsia="MS Mincho;ＭＳ 明朝" w:hAnsi="Arial" w:cs="Arial"/>
          <w:b/>
          <w:bCs/>
          <w:sz w:val="20"/>
          <w:szCs w:val="20"/>
        </w:rPr>
      </w:pPr>
    </w:p>
    <w:p w:rsidR="007904E3" w:rsidRDefault="00380A79">
      <w:pPr>
        <w:pStyle w:val="Akapitzlist"/>
        <w:numPr>
          <w:ilvl w:val="1"/>
          <w:numId w:val="16"/>
        </w:numPr>
        <w:tabs>
          <w:tab w:val="left" w:pos="2977"/>
        </w:tabs>
        <w:ind w:left="426" w:hanging="426"/>
        <w:rPr>
          <w:rFonts w:ascii="Arial" w:eastAsia="MS Mincho;ＭＳ 明朝" w:hAnsi="Arial" w:cs="Arial"/>
          <w:b/>
          <w:bCs/>
          <w:sz w:val="20"/>
          <w:szCs w:val="20"/>
        </w:rPr>
      </w:pPr>
      <w:r>
        <w:rPr>
          <w:rFonts w:ascii="Arial" w:eastAsia="MS Mincho;ＭＳ 明朝" w:hAnsi="Arial" w:cs="Arial"/>
          <w:b/>
          <w:bCs/>
          <w:sz w:val="20"/>
          <w:szCs w:val="20"/>
        </w:rPr>
        <w:t>Przedmiot ST</w:t>
      </w:r>
    </w:p>
    <w:p w:rsidR="007904E3" w:rsidRDefault="007904E3">
      <w:pPr>
        <w:tabs>
          <w:tab w:val="left" w:pos="2977"/>
        </w:tabs>
        <w:rPr>
          <w:rFonts w:ascii="Arial" w:eastAsia="MS Mincho;ＭＳ 明朝" w:hAnsi="Arial" w:cs="Arial"/>
          <w:b/>
          <w:bCs/>
          <w:sz w:val="20"/>
          <w:szCs w:val="20"/>
        </w:rPr>
      </w:pPr>
    </w:p>
    <w:p w:rsidR="007904E3" w:rsidRDefault="00380A79">
      <w:pPr>
        <w:tabs>
          <w:tab w:val="left" w:pos="2977"/>
        </w:tabs>
        <w:rPr>
          <w:rFonts w:ascii="Arial" w:hAnsi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Przedmiotem niniejszej specyfikacji technicznej są wymagania dotyczące wykonania i odbioru robót budowlanych w zakresie </w:t>
      </w:r>
      <w:r w:rsidR="000407EB">
        <w:rPr>
          <w:rFonts w:ascii="Arial" w:hAnsi="Arial" w:cs="Arial"/>
          <w:sz w:val="20"/>
          <w:szCs w:val="20"/>
        </w:rPr>
        <w:t>przebudowy napowietrznej sieci rozdzielczo-oświetleniowej</w:t>
      </w:r>
      <w:r>
        <w:rPr>
          <w:rFonts w:ascii="Arial" w:hAnsi="Arial" w:cs="Arial"/>
          <w:sz w:val="20"/>
          <w:szCs w:val="20"/>
        </w:rPr>
        <w:t xml:space="preserve"> </w:t>
      </w:r>
      <w:r w:rsidR="00157A8E">
        <w:rPr>
          <w:rFonts w:ascii="Arial" w:hAnsi="Arial" w:cs="Arial"/>
          <w:sz w:val="20"/>
          <w:szCs w:val="20"/>
        </w:rPr>
        <w:t xml:space="preserve">typu NLK </w:t>
      </w:r>
      <w:r>
        <w:rPr>
          <w:rFonts w:ascii="Arial" w:hAnsi="Arial" w:cs="Arial"/>
          <w:sz w:val="20"/>
          <w:szCs w:val="20"/>
        </w:rPr>
        <w:t xml:space="preserve">dla </w:t>
      </w:r>
      <w:r>
        <w:rPr>
          <w:rFonts w:ascii="Arial" w:eastAsia="MS Mincho;ＭＳ 明朝" w:hAnsi="Arial" w:cs="Arial"/>
          <w:sz w:val="20"/>
          <w:szCs w:val="20"/>
        </w:rPr>
        <w:t xml:space="preserve">realizacji zadania: </w:t>
      </w:r>
      <w:bookmarkStart w:id="3" w:name="__DdeLink__3007_128033739"/>
      <w:r>
        <w:rPr>
          <w:rFonts w:ascii="Arial" w:eastAsia="Arial" w:hAnsi="Arial" w:cs="Arial"/>
          <w:b/>
          <w:bCs/>
          <w:sz w:val="20"/>
          <w:szCs w:val="20"/>
        </w:rPr>
        <w:t>„</w:t>
      </w:r>
      <w:bookmarkEnd w:id="3"/>
      <w:r>
        <w:rPr>
          <w:rFonts w:ascii="Arial" w:eastAsia="MS Mincho;ＭＳ 明朝" w:hAnsi="Arial" w:cs="Arial"/>
          <w:b/>
          <w:bCs/>
          <w:sz w:val="20"/>
          <w:szCs w:val="20"/>
        </w:rPr>
        <w:t>Budowa chodnika w ciągu drogi wojewódzkiej nr 911 łączącego miejscowość Orzech w Gminie Świerklaniec z Miastem Piekary Śląskie, na działkach o numerach ewidencyjnych 130/49 obręb Kozłowa Góra, gm. Piekary Śląskie; 180/4 i 865/6 obręb Orzech, gm. Świerklaniec - ETAP I”.</w:t>
      </w:r>
    </w:p>
    <w:p w:rsidR="007904E3" w:rsidRDefault="007904E3">
      <w:pPr>
        <w:pStyle w:val="Zwykytekst"/>
        <w:rPr>
          <w:rFonts w:ascii="Arial" w:hAnsi="Arial" w:cs="Arial"/>
          <w:b/>
          <w:bCs/>
          <w:sz w:val="20"/>
          <w:szCs w:val="20"/>
        </w:rPr>
      </w:pP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1.2. Zakres stosowania ST</w:t>
      </w:r>
    </w:p>
    <w:p w:rsidR="007904E3" w:rsidRDefault="007904E3">
      <w:pPr>
        <w:pStyle w:val="Zwykytekst"/>
        <w:rPr>
          <w:rFonts w:ascii="Arial" w:hAnsi="Arial" w:cs="Arial"/>
          <w:sz w:val="20"/>
          <w:szCs w:val="20"/>
        </w:rPr>
      </w:pPr>
    </w:p>
    <w:p w:rsidR="007904E3" w:rsidRDefault="00380A79">
      <w:pPr>
        <w:tabs>
          <w:tab w:val="left" w:pos="2977"/>
        </w:tabs>
      </w:pPr>
      <w:r>
        <w:rPr>
          <w:rFonts w:ascii="Arial" w:hAnsi="Arial" w:cs="Arial"/>
          <w:sz w:val="20"/>
          <w:szCs w:val="20"/>
        </w:rPr>
        <w:t xml:space="preserve">Niniejszą specyfikację należy stosować w procedurze przetargowej i </w:t>
      </w:r>
      <w:r>
        <w:rPr>
          <w:rFonts w:ascii="Arial" w:eastAsia="MS Mincho" w:hAnsi="Arial" w:cs="Arial"/>
          <w:sz w:val="20"/>
          <w:szCs w:val="20"/>
        </w:rPr>
        <w:t xml:space="preserve">przy realizacji zadania: </w:t>
      </w:r>
      <w:r>
        <w:rPr>
          <w:rFonts w:ascii="Arial" w:eastAsia="Arial" w:hAnsi="Arial" w:cs="Arial"/>
          <w:sz w:val="20"/>
          <w:szCs w:val="20"/>
        </w:rPr>
        <w:t>„</w:t>
      </w:r>
      <w:r>
        <w:rPr>
          <w:rFonts w:ascii="Arial" w:eastAsia="MS Mincho;ＭＳ 明朝" w:hAnsi="Arial" w:cs="Arial"/>
          <w:sz w:val="20"/>
          <w:szCs w:val="20"/>
        </w:rPr>
        <w:t>Budowa chodnika w ciągu drogi wojewódzkiej nr 911 łączącego miejscowość Orzech w Gminie Świerklaniec z Miastem Piekary Śląskie, na działkach o numerach ewidencyjnych 130/49 obręb Kozłowa Góra, gm. Piekary Śląskie; 180/4 i 865/6 obręb Orzech, gm. Świerklaniec - ETAP I”.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1.3. Zakres robót objętych ST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Ustalenia zawarte w niniejszej specyfikacji dotyczą zasad prowadzenia robót związanych z </w:t>
      </w:r>
      <w:r w:rsidR="000407EB">
        <w:rPr>
          <w:rFonts w:ascii="Arial" w:hAnsi="Arial" w:cs="Arial"/>
          <w:sz w:val="20"/>
          <w:szCs w:val="20"/>
        </w:rPr>
        <w:t>przebudową napowietrznej sieci rozdzielczo-oświetleniowej</w:t>
      </w:r>
      <w:r>
        <w:rPr>
          <w:rFonts w:ascii="Arial" w:hAnsi="Arial" w:cs="Arial"/>
          <w:sz w:val="20"/>
          <w:szCs w:val="20"/>
        </w:rPr>
        <w:t>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1.4. Określenia podstawowe</w:t>
      </w:r>
    </w:p>
    <w:p w:rsidR="007904E3" w:rsidRDefault="00380A79">
      <w:pPr>
        <w:numPr>
          <w:ilvl w:val="0"/>
          <w:numId w:val="1"/>
        </w:numPr>
        <w:tabs>
          <w:tab w:val="left" w:pos="0"/>
        </w:tabs>
        <w:ind w:left="0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Słup oświetleniowy - konstrukcja wsporcza osadzona bezpośrednio w gruncie, służąca do </w:t>
      </w:r>
      <w:r>
        <w:rPr>
          <w:rFonts w:ascii="Arial" w:hAnsi="Arial" w:cs="Arial"/>
          <w:sz w:val="20"/>
          <w:szCs w:val="20"/>
        </w:rPr>
        <w:tab/>
        <w:t>zamocowania oprawy oświetleniowej na wysokości nie większej niż 14 m.</w:t>
      </w:r>
    </w:p>
    <w:p w:rsidR="007904E3" w:rsidRDefault="00380A79">
      <w:pPr>
        <w:numPr>
          <w:ilvl w:val="0"/>
          <w:numId w:val="1"/>
        </w:numPr>
        <w:tabs>
          <w:tab w:val="left" w:pos="0"/>
        </w:tabs>
        <w:spacing w:before="120"/>
        <w:ind w:left="0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Maszt oświetleniowy - konstrukcja wsporcza osadzona w gruncie za pomocą fundamentu, </w:t>
      </w:r>
      <w:r>
        <w:rPr>
          <w:rFonts w:ascii="Arial" w:hAnsi="Arial" w:cs="Arial"/>
          <w:sz w:val="20"/>
          <w:szCs w:val="20"/>
        </w:rPr>
        <w:tab/>
        <w:t>służąca do zamocowania opraw oświetleniowych na wysokości powyżej 16 m.</w:t>
      </w:r>
    </w:p>
    <w:p w:rsidR="007904E3" w:rsidRDefault="00380A79">
      <w:pPr>
        <w:numPr>
          <w:ilvl w:val="0"/>
          <w:numId w:val="1"/>
        </w:numPr>
        <w:tabs>
          <w:tab w:val="left" w:pos="0"/>
        </w:tabs>
        <w:spacing w:before="120"/>
        <w:ind w:left="0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Wysięgnik - element rurowy łączący słup oświetleniowy z oprawą.</w:t>
      </w:r>
    </w:p>
    <w:p w:rsidR="007904E3" w:rsidRDefault="00380A79">
      <w:pPr>
        <w:numPr>
          <w:ilvl w:val="0"/>
          <w:numId w:val="1"/>
        </w:numPr>
        <w:tabs>
          <w:tab w:val="left" w:pos="0"/>
        </w:tabs>
        <w:spacing w:before="120"/>
        <w:ind w:left="0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Oprawa oświetleniowa - urządzenie służące do rozdziału, filtracji i przekształcania strumienia </w:t>
      </w:r>
      <w:r>
        <w:rPr>
          <w:rFonts w:ascii="Arial" w:hAnsi="Arial" w:cs="Arial"/>
          <w:sz w:val="20"/>
          <w:szCs w:val="20"/>
        </w:rPr>
        <w:tab/>
        <w:t xml:space="preserve">świetlnego wysyłanego przez źródło światła, zawierające wszystkie niezbędne detale do </w:t>
      </w:r>
      <w:r>
        <w:rPr>
          <w:rFonts w:ascii="Arial" w:hAnsi="Arial" w:cs="Arial"/>
          <w:sz w:val="20"/>
          <w:szCs w:val="20"/>
        </w:rPr>
        <w:tab/>
        <w:t>przymocowania i połączenia z instalacją elektryczną.</w:t>
      </w:r>
    </w:p>
    <w:p w:rsidR="007904E3" w:rsidRDefault="00380A79">
      <w:pPr>
        <w:numPr>
          <w:ilvl w:val="0"/>
          <w:numId w:val="1"/>
        </w:numPr>
        <w:tabs>
          <w:tab w:val="left" w:pos="0"/>
        </w:tabs>
        <w:spacing w:before="120"/>
        <w:ind w:left="0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Kabel - przewód wielożyłowy izolowany, przystosowany do przewodzenia prądu elektrycznego, </w:t>
      </w:r>
      <w:r>
        <w:rPr>
          <w:rFonts w:ascii="Arial" w:hAnsi="Arial" w:cs="Arial"/>
          <w:sz w:val="20"/>
          <w:szCs w:val="20"/>
        </w:rPr>
        <w:tab/>
        <w:t>mogący pracować pod i nad ziemią.</w:t>
      </w:r>
    </w:p>
    <w:p w:rsidR="007904E3" w:rsidRDefault="00380A79">
      <w:pPr>
        <w:numPr>
          <w:ilvl w:val="0"/>
          <w:numId w:val="1"/>
        </w:numPr>
        <w:tabs>
          <w:tab w:val="left" w:pos="0"/>
        </w:tabs>
        <w:spacing w:before="120"/>
        <w:ind w:left="0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Ustój - rodzaj fundamentu dla słupów oświetleniowych.</w:t>
      </w:r>
    </w:p>
    <w:p w:rsidR="007904E3" w:rsidRDefault="00380A79">
      <w:pPr>
        <w:numPr>
          <w:ilvl w:val="0"/>
          <w:numId w:val="1"/>
        </w:numPr>
        <w:tabs>
          <w:tab w:val="left" w:pos="0"/>
        </w:tabs>
        <w:spacing w:before="120"/>
        <w:ind w:left="0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Fundament - konstrukcja żelbetowa zagłębiona w ziemi, służąca do utrzymania masztu lub szafy </w:t>
      </w:r>
      <w:r>
        <w:rPr>
          <w:rFonts w:ascii="Arial" w:hAnsi="Arial" w:cs="Arial"/>
          <w:sz w:val="20"/>
          <w:szCs w:val="20"/>
        </w:rPr>
        <w:tab/>
        <w:t>oświetleniowej w pozycji pracy.</w:t>
      </w:r>
    </w:p>
    <w:p w:rsidR="007904E3" w:rsidRDefault="00380A79">
      <w:pPr>
        <w:numPr>
          <w:ilvl w:val="0"/>
          <w:numId w:val="1"/>
        </w:numPr>
        <w:tabs>
          <w:tab w:val="left" w:pos="0"/>
        </w:tabs>
        <w:spacing w:before="120"/>
        <w:ind w:left="0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Szafa oświetleniowa - urządzenie rozdzielczo-sterownicze bezpośrednio zasilające instalacje </w:t>
      </w:r>
      <w:r>
        <w:rPr>
          <w:rFonts w:ascii="Arial" w:hAnsi="Arial" w:cs="Arial"/>
          <w:sz w:val="20"/>
          <w:szCs w:val="20"/>
        </w:rPr>
        <w:tab/>
        <w:t>oświetleniowe.</w:t>
      </w:r>
    </w:p>
    <w:p w:rsidR="007904E3" w:rsidRDefault="00380A79">
      <w:pPr>
        <w:numPr>
          <w:ilvl w:val="0"/>
          <w:numId w:val="1"/>
        </w:numPr>
        <w:tabs>
          <w:tab w:val="left" w:pos="0"/>
        </w:tabs>
        <w:spacing w:before="120"/>
        <w:ind w:left="0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Dodatkowa ochrona przeciwporażeniowa - ochrona części przewodzących dostępnych w </w:t>
      </w:r>
      <w:r>
        <w:rPr>
          <w:rFonts w:ascii="Arial" w:hAnsi="Arial" w:cs="Arial"/>
          <w:sz w:val="20"/>
          <w:szCs w:val="20"/>
        </w:rPr>
        <w:tab/>
        <w:t>wypadku pojawienia się na nich napięcia w warunkach zakłóceniowych.</w:t>
      </w:r>
    </w:p>
    <w:p w:rsidR="007904E3" w:rsidRDefault="00380A79">
      <w:pPr>
        <w:numPr>
          <w:ilvl w:val="0"/>
          <w:numId w:val="1"/>
        </w:numPr>
        <w:tabs>
          <w:tab w:val="left" w:pos="0"/>
        </w:tabs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Pozostałe określenia podstawowe są zgodne z obowiązującymi odpowiednimi normami i </w:t>
      </w:r>
      <w:r>
        <w:rPr>
          <w:rFonts w:ascii="Arial" w:hAnsi="Arial" w:cs="Arial"/>
          <w:sz w:val="20"/>
          <w:szCs w:val="20"/>
        </w:rPr>
        <w:tab/>
        <w:t>definicjami podanymi w ST-D-00 „Wymagania ogólne”.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1.5. Ogólne wymagania dotyczące robót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Ogólne wymagania dotyczące robót podano w ST-D-00 „Wymagania ogólne”.</w:t>
      </w:r>
    </w:p>
    <w:p w:rsidR="007904E3" w:rsidRDefault="00380A79">
      <w:pPr>
        <w:pStyle w:val="Heading1"/>
        <w:rPr>
          <w:rFonts w:ascii="Arial" w:hAnsi="Arial" w:cs="Arial"/>
          <w:sz w:val="20"/>
          <w:szCs w:val="20"/>
        </w:rPr>
      </w:pPr>
      <w:bookmarkStart w:id="4" w:name="_Toc424024071"/>
      <w:bookmarkStart w:id="5" w:name="_Toc450718594"/>
      <w:bookmarkStart w:id="6" w:name="_Toc451138864"/>
      <w:bookmarkEnd w:id="4"/>
      <w:bookmarkEnd w:id="5"/>
      <w:bookmarkEnd w:id="6"/>
      <w:r>
        <w:rPr>
          <w:rFonts w:ascii="Arial" w:hAnsi="Arial" w:cs="Arial"/>
          <w:sz w:val="20"/>
          <w:szCs w:val="20"/>
        </w:rPr>
        <w:t>2. MATERIAŁY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2.1. Ogólne wymagania dotyczące materiałów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Ogólne wymagania dotyczące materiałów, ich pozyskiwania </w:t>
      </w:r>
      <w:r w:rsidR="000407EB">
        <w:rPr>
          <w:rFonts w:ascii="Arial" w:hAnsi="Arial" w:cs="Arial"/>
          <w:sz w:val="20"/>
          <w:szCs w:val="20"/>
        </w:rPr>
        <w:t>i składowania, podano w ST-D-00</w:t>
      </w:r>
      <w:r>
        <w:rPr>
          <w:rFonts w:ascii="Arial" w:hAnsi="Arial" w:cs="Arial"/>
          <w:sz w:val="20"/>
          <w:szCs w:val="20"/>
        </w:rPr>
        <w:t xml:space="preserve"> „Wymagania ogólne”.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2.2. Materiały do wykonania „na mokro”, parametry minimalne</w:t>
      </w:r>
    </w:p>
    <w:p w:rsidR="007904E3" w:rsidRDefault="00380A79">
      <w:pPr>
        <w:pStyle w:val="tekstost"/>
        <w:numPr>
          <w:ilvl w:val="0"/>
          <w:numId w:val="2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Szalowanie, parametry minimalne</w:t>
      </w:r>
    </w:p>
    <w:p w:rsidR="007904E3" w:rsidRDefault="00380A79">
      <w:pPr>
        <w:pStyle w:val="tekstost"/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Szalowanie powinno zapewnić sztywność i niezmienność układu. Szalowanie powinno być skonstruowane w sposób umożliwiający łatwy jego montaż i demontaż. Przed wypełnieniem masą betonową szalowanie powinno być sprawdzone, aby wykluczało wyciek zaprawy z masy betonowej, możliwość zniekształceń lub odchyleń w betonowej konstrukcji. Przy wykonywaniu robót należy przestrzegać zaleceń producentów / dostawców materiałów i urządzeń wybranych przez wykonawcę.</w:t>
      </w:r>
    </w:p>
    <w:p w:rsidR="007904E3" w:rsidRDefault="007904E3">
      <w:pPr>
        <w:pStyle w:val="tekstost"/>
        <w:spacing w:before="120"/>
        <w:rPr>
          <w:rFonts w:ascii="Arial" w:hAnsi="Arial" w:cs="Arial"/>
          <w:sz w:val="20"/>
          <w:szCs w:val="20"/>
        </w:rPr>
      </w:pPr>
    </w:p>
    <w:p w:rsidR="007904E3" w:rsidRDefault="00380A79">
      <w:pPr>
        <w:pStyle w:val="tekstost"/>
        <w:numPr>
          <w:ilvl w:val="0"/>
          <w:numId w:val="3"/>
        </w:num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Beton, parametry minimalne</w:t>
      </w:r>
    </w:p>
    <w:p w:rsidR="007904E3" w:rsidRDefault="00380A79">
      <w:pPr>
        <w:pStyle w:val="tekstost"/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Klasa betonu powinna być nie niższa niż klasa min. B 30. Beton powinien odpowiadać minimalnym wymaganiom podanym w tablicy 1, według PN-88/B-06250 lub równoważne.</w:t>
      </w:r>
    </w:p>
    <w:p w:rsidR="007904E3" w:rsidRDefault="00380A79">
      <w:pPr>
        <w:pStyle w:val="tekstost"/>
        <w:spacing w:before="120" w:after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Tablica 1. Wymagania minimalne dla betonu klasy min. B 30 </w:t>
      </w:r>
    </w:p>
    <w:tbl>
      <w:tblPr>
        <w:tblW w:w="7510" w:type="dxa"/>
        <w:tblInd w:w="-68" w:type="dxa"/>
        <w:tblBorders>
          <w:top w:val="single" w:sz="6" w:space="0" w:color="00000A"/>
          <w:left w:val="single" w:sz="6" w:space="0" w:color="00000A"/>
          <w:bottom w:val="double" w:sz="6" w:space="0" w:color="00000A"/>
          <w:right w:val="single" w:sz="6" w:space="0" w:color="00000A"/>
          <w:insideH w:val="double" w:sz="6" w:space="0" w:color="00000A"/>
          <w:insideV w:val="single" w:sz="6" w:space="0" w:color="00000A"/>
        </w:tblBorders>
        <w:tblCellMar>
          <w:left w:w="-2" w:type="dxa"/>
          <w:right w:w="70" w:type="dxa"/>
        </w:tblCellMar>
        <w:tblLook w:val="0000"/>
      </w:tblPr>
      <w:tblGrid>
        <w:gridCol w:w="496"/>
        <w:gridCol w:w="5528"/>
        <w:gridCol w:w="1486"/>
      </w:tblGrid>
      <w:tr w:rsidR="007904E3">
        <w:tc>
          <w:tcPr>
            <w:tcW w:w="496" w:type="dxa"/>
            <w:tcBorders>
              <w:top w:val="single" w:sz="6" w:space="0" w:color="00000A"/>
              <w:left w:val="single" w:sz="6" w:space="0" w:color="00000A"/>
              <w:bottom w:val="doub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5528" w:type="dxa"/>
            <w:tcBorders>
              <w:top w:val="single" w:sz="6" w:space="0" w:color="00000A"/>
              <w:left w:val="single" w:sz="6" w:space="0" w:color="00000A"/>
              <w:bottom w:val="doub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Właściwość</w:t>
            </w:r>
          </w:p>
        </w:tc>
        <w:tc>
          <w:tcPr>
            <w:tcW w:w="1486" w:type="dxa"/>
            <w:tcBorders>
              <w:top w:val="single" w:sz="6" w:space="0" w:color="00000A"/>
              <w:left w:val="single" w:sz="6" w:space="0" w:color="00000A"/>
              <w:bottom w:val="doub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Wartość minimalna</w:t>
            </w:r>
          </w:p>
        </w:tc>
      </w:tr>
      <w:tr w:rsidR="007904E3">
        <w:tc>
          <w:tcPr>
            <w:tcW w:w="49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52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Wytrzymałość gwarantowana betonu na ściskanie,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4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</w:tr>
      <w:tr w:rsidR="007904E3">
        <w:tc>
          <w:tcPr>
            <w:tcW w:w="49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552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Nasiąkliwość betonu, %</w:t>
            </w:r>
          </w:p>
        </w:tc>
        <w:tc>
          <w:tcPr>
            <w:tcW w:w="14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7904E3">
        <w:tc>
          <w:tcPr>
            <w:tcW w:w="49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552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Odporność betonu na działanie mrozu, stopień mrozoodporności</w:t>
            </w:r>
          </w:p>
        </w:tc>
        <w:tc>
          <w:tcPr>
            <w:tcW w:w="14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-2" w:type="dxa"/>
            </w:tcMar>
          </w:tcPr>
          <w:p w:rsidR="007904E3" w:rsidRDefault="00380A79">
            <w:pPr>
              <w:pStyle w:val="tekstost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 50</w:t>
            </w:r>
          </w:p>
        </w:tc>
      </w:tr>
    </w:tbl>
    <w:p w:rsidR="007904E3" w:rsidRDefault="00380A79">
      <w:pPr>
        <w:pStyle w:val="tekstost"/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Składnikami betonu są: cement, kruszywo, woda i domieszki. Cement stosowany do betonu powinien być cementem portlandzkim marki min. 35, odpowiadający minimalnym wymaganiom PN-88/B-30000 lub równoważne. Cement powinien być dostarczany w opakowaniach spełniających minimalne wymagania BN-88/6731-08 lub równoważne i składowany w dobrze wentylowanych, suchych i zadaszonych pomieszczeniach. Kruszywo do betonu (piasek, grys) powinno odpowiadać minimalnym wymaganiom PN-86/B-06712 lub równoważne. Woda powinna być odmiany „1”, zgodnie z minimalnymi wymaganiami PN-88/B-32250 lub równoważne. Dobór domieszek powinien być dokonany zgodnie z zaleceniami PN-88/B-06250 lub równoważne. Domieszki powinny odpowiadać PN-85/B-23010 lub równoważne. Przy wykonywaniu robót należy przestrzegać zaleceń producentów / dostawców materiałów i urządzeń wybranych przez wykonawcę.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2.3. Materiały stosowane przy układaniu kabli, parametry minimalne</w:t>
      </w:r>
    </w:p>
    <w:p w:rsidR="007904E3" w:rsidRDefault="00380A79">
      <w:pPr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Piasek, parametry minimalne</w:t>
      </w:r>
    </w:p>
    <w:p w:rsidR="007904E3" w:rsidRDefault="00380A79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Piasek stosowany przy układaniu kabli powinien być co najmniej gatunku „3”, odpowiadającego minimalnym wymaganiom BN-87/6774-04 lub równoważne. Przy wykonywaniu robót należy przestrzegać zaleceń producentów / dostawców materiałów i urządzeń wybranych przez wykonawcę.</w:t>
      </w:r>
    </w:p>
    <w:p w:rsidR="007904E3" w:rsidRDefault="00380A79">
      <w:pPr>
        <w:numPr>
          <w:ilvl w:val="0"/>
          <w:numId w:val="5"/>
        </w:num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Folia, parametry minimalne</w:t>
      </w:r>
    </w:p>
    <w:p w:rsidR="007904E3" w:rsidRDefault="00380A79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Folia służąca do osłony kabla przed uszkodzeniami mechanicznymi, powinna być folią kalandrowaną z uplastycznionego PCW o grubości od 0,4 do 0,6 mm, gatunku I, odpowiadającą minimalnym wymaganiom BN-68/6353-03 lub równoważne. Przy wykonywaniu robót należy przestrzegać zaleceń producentów / dostawców materiałów i urządzeń wybranych przez wykonawcę.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2.4. Elementy gotowe, parametry minimalne</w:t>
      </w:r>
    </w:p>
    <w:p w:rsidR="007904E3" w:rsidRDefault="00380A79">
      <w:pPr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Fundamenty prefabrykowane, parametry minimalne</w:t>
      </w:r>
    </w:p>
    <w:p w:rsidR="007904E3" w:rsidRDefault="00380A79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Ogólne wymagania dotyczące fundamentów określone są w PN-80/B-03322 lub równoważne. Składowanie prefabrykatów powinno odbywać się na wyrównanym, utwardzonym i odwodnionym podłożu, na przekładkach z drewna sosnowego. Przy wykonywaniu robót należy przestrzegać zaleceń producentów / dostawców materiałów i urządzeń wybranych przez wykonawcę.</w:t>
      </w:r>
    </w:p>
    <w:p w:rsidR="007904E3" w:rsidRPr="00380A79" w:rsidRDefault="00380A79" w:rsidP="00380A79">
      <w:pPr>
        <w:pStyle w:val="Akapitzlist"/>
        <w:numPr>
          <w:ilvl w:val="2"/>
          <w:numId w:val="19"/>
        </w:numPr>
        <w:spacing w:before="120"/>
        <w:ind w:left="709" w:hanging="709"/>
        <w:rPr>
          <w:rFonts w:ascii="Arial" w:hAnsi="Arial" w:cs="Arial"/>
          <w:sz w:val="20"/>
          <w:szCs w:val="20"/>
        </w:rPr>
      </w:pPr>
      <w:r w:rsidRPr="00380A79">
        <w:rPr>
          <w:rFonts w:ascii="Arial" w:hAnsi="Arial" w:cs="Arial"/>
          <w:sz w:val="20"/>
          <w:szCs w:val="20"/>
        </w:rPr>
        <w:t>Żwir na podsypkę, parametry minimalne</w:t>
      </w:r>
    </w:p>
    <w:p w:rsidR="007904E3" w:rsidRDefault="00380A79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Żwir na podsypkę pod prefabrykowane elementy betonowe powinien być klasy co najmniej III i odpowiadać minimalnym wymaganiom BN-66/6774-01 lub równoważne. Przy wykonywaniu robót należy przestrzegać zaleceń producentów / dostawców materiałów i urządzeń wybranych przez wykonawcę.</w:t>
      </w:r>
    </w:p>
    <w:p w:rsidR="007904E3" w:rsidRDefault="00380A79">
      <w:pPr>
        <w:pStyle w:val="Heading1"/>
        <w:rPr>
          <w:rFonts w:ascii="Arial" w:hAnsi="Arial" w:cs="Arial"/>
          <w:sz w:val="20"/>
          <w:szCs w:val="20"/>
        </w:rPr>
      </w:pPr>
      <w:bookmarkStart w:id="7" w:name="_Toc450718595"/>
      <w:bookmarkStart w:id="8" w:name="_Toc451138865"/>
      <w:bookmarkEnd w:id="7"/>
      <w:bookmarkEnd w:id="8"/>
      <w:r>
        <w:rPr>
          <w:rFonts w:ascii="Arial" w:hAnsi="Arial" w:cs="Arial"/>
          <w:sz w:val="20"/>
          <w:szCs w:val="20"/>
        </w:rPr>
        <w:t>3. sprzęt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3.1. Ogólne wymagania dotyczące sprzętu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Ogólne wymagania dotyczące sprzętu podano w ST-D-00 „Wymagania ogólne”.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3.2. Sprzęt do wykonania robót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Wykonawca przystępujący do wykonania robót winien wykazać się możliwością korzystania z następujących maszyn i sprzętu gwarantujących właściwą jakość robót:</w:t>
      </w:r>
    </w:p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żurawia samochodowego,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samochodu specjalnego linowego z platformą i balkonem,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wiertnicy na podwoziu samochodowym ze świdrem,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spawarki transformatorowej,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zagęszczarki wibracyjnej spalinowej.</w:t>
      </w:r>
    </w:p>
    <w:p w:rsidR="007904E3" w:rsidRDefault="007904E3">
      <w:pPr>
        <w:ind w:left="283"/>
        <w:rPr>
          <w:rFonts w:ascii="Arial" w:hAnsi="Arial" w:cs="Arial"/>
          <w:sz w:val="20"/>
          <w:szCs w:val="20"/>
        </w:rPr>
      </w:pP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Przy wykonywaniu robót należy przestrzegać zaleceń producentów / dostawców materiałów i urządzeń wybranych przez wykonawcę</w:t>
      </w:r>
    </w:p>
    <w:p w:rsidR="007904E3" w:rsidRDefault="00380A79">
      <w:pPr>
        <w:pStyle w:val="Heading1"/>
        <w:rPr>
          <w:rFonts w:ascii="Arial" w:hAnsi="Arial" w:cs="Arial"/>
          <w:sz w:val="20"/>
          <w:szCs w:val="20"/>
        </w:rPr>
      </w:pPr>
      <w:bookmarkStart w:id="9" w:name="_Toc450718596"/>
      <w:bookmarkStart w:id="10" w:name="_Toc451138866"/>
      <w:bookmarkEnd w:id="9"/>
      <w:bookmarkEnd w:id="10"/>
      <w:r>
        <w:rPr>
          <w:rFonts w:ascii="Arial" w:hAnsi="Arial" w:cs="Arial"/>
          <w:sz w:val="20"/>
          <w:szCs w:val="20"/>
        </w:rPr>
        <w:t>4. transport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4.1. Ogólne wymagania dotyczące transportu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Ogólne wymagania dotyczące transportu podano w ST-D-00 „Wymagania ogólne”.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4.2. Transport materiałów 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Wykonawca przystępujący do wykonania robot winien wykazać się możliwością korzystania z następujących środków transportu:</w:t>
      </w:r>
    </w:p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samochodu skrzyniowego,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przyczepy dłużycowej,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samochodu specjalnego linowego z platformą i balkonem,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samochodu dostawczego,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przyczepy do przewożenia kabli.</w:t>
      </w:r>
    </w:p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 środkach transportu przewożone materiały i elementy powinny być zabezpieczone przed ich przemieszczaniem, układane zgodnie z warunkami transportu wydanymi przez wytwórców / producentów / dostawców wybranych przez wykonawcę dla poszczególnych elementów. Przy wykonywaniu robót należy przestrzegać zaleceń producentów / dostawców materiałów i urządzeń wybranych przez wykonawcę.</w:t>
      </w:r>
    </w:p>
    <w:p w:rsidR="007904E3" w:rsidRDefault="00380A79">
      <w:pPr>
        <w:pStyle w:val="Heading1"/>
        <w:rPr>
          <w:rFonts w:ascii="Arial" w:hAnsi="Arial" w:cs="Arial"/>
          <w:sz w:val="20"/>
          <w:szCs w:val="20"/>
        </w:rPr>
      </w:pPr>
      <w:bookmarkStart w:id="11" w:name="_Toc450718597"/>
      <w:bookmarkStart w:id="12" w:name="_Toc451138867"/>
      <w:bookmarkEnd w:id="11"/>
      <w:bookmarkEnd w:id="12"/>
      <w:r>
        <w:rPr>
          <w:rFonts w:ascii="Arial" w:hAnsi="Arial" w:cs="Arial"/>
          <w:sz w:val="20"/>
          <w:szCs w:val="20"/>
        </w:rPr>
        <w:t>5. wykonanie robót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5.1. Ogólne zasady wykonania robót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Ogólne zasady wykonania robót podano w ST-D-00 „Wymagania ogólne”.</w:t>
      </w:r>
    </w:p>
    <w:p w:rsidR="00380A79" w:rsidRDefault="00380A79">
      <w:pPr>
        <w:rPr>
          <w:rFonts w:ascii="Arial" w:hAnsi="Arial" w:cs="Arial"/>
          <w:sz w:val="20"/>
          <w:szCs w:val="20"/>
        </w:rPr>
      </w:pPr>
    </w:p>
    <w:p w:rsidR="00380A79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Zakres zamówienia obejmuje wykonanie następujących robót</w:t>
      </w:r>
      <w:r w:rsidR="006B2477">
        <w:rPr>
          <w:rFonts w:ascii="Arial" w:hAnsi="Arial" w:cs="Arial"/>
          <w:sz w:val="20"/>
          <w:szCs w:val="20"/>
        </w:rPr>
        <w:t xml:space="preserve"> i czynności</w:t>
      </w:r>
      <w:r w:rsidR="00AB567E">
        <w:rPr>
          <w:rFonts w:ascii="Arial" w:hAnsi="Arial" w:cs="Arial"/>
          <w:sz w:val="20"/>
          <w:szCs w:val="20"/>
        </w:rPr>
        <w:t xml:space="preserve"> zgodnie z dokumentacją projektową</w:t>
      </w:r>
      <w:r>
        <w:rPr>
          <w:rFonts w:ascii="Arial" w:hAnsi="Arial" w:cs="Arial"/>
          <w:sz w:val="20"/>
          <w:szCs w:val="20"/>
        </w:rPr>
        <w:t>:</w:t>
      </w:r>
    </w:p>
    <w:p w:rsidR="00380A79" w:rsidRDefault="00380A79">
      <w:pPr>
        <w:rPr>
          <w:rFonts w:ascii="Arial" w:hAnsi="Arial" w:cs="Arial"/>
          <w:sz w:val="20"/>
          <w:szCs w:val="20"/>
        </w:rPr>
      </w:pPr>
    </w:p>
    <w:p w:rsidR="00380A79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demontaż istniejącej sieci oświetleniowo-rozdzielczej,</w:t>
      </w:r>
    </w:p>
    <w:p w:rsidR="00380A79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demontaż istniejących słupów,</w:t>
      </w:r>
    </w:p>
    <w:p w:rsidR="00380A79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wykonanie wykopów pod słupy i kable,</w:t>
      </w:r>
    </w:p>
    <w:p w:rsidR="00380A79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C21B68">
        <w:rPr>
          <w:rFonts w:ascii="Arial" w:hAnsi="Arial" w:cs="Arial"/>
          <w:sz w:val="20"/>
          <w:szCs w:val="20"/>
        </w:rPr>
        <w:t>układanie kabli w wykopach,</w:t>
      </w:r>
    </w:p>
    <w:p w:rsidR="00C21B68" w:rsidRDefault="00C21B6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montaż napowietrznej linii kablowej typu NLK,</w:t>
      </w:r>
    </w:p>
    <w:p w:rsidR="00C21B68" w:rsidRDefault="00C21B6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montaż i obróbka kabli oraz przewodów,</w:t>
      </w:r>
    </w:p>
    <w:p w:rsidR="00C21B68" w:rsidRDefault="00C21B6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montaż i stawianie słupów sieciowych,</w:t>
      </w:r>
    </w:p>
    <w:p w:rsidR="00C21B68" w:rsidRDefault="00C21B6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montaż opraw oświetleniowych na słupach,</w:t>
      </w:r>
    </w:p>
    <w:p w:rsidR="00C21B68" w:rsidRDefault="00C21B6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wykonanie pomiarów skuteczności ochrony przeciwporażeniowej,</w:t>
      </w:r>
    </w:p>
    <w:p w:rsidR="00C21B68" w:rsidRDefault="00C21B6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wydanie zaświadcz</w:t>
      </w:r>
      <w:r w:rsidR="006B2477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nia o sprawności instalacji elektrycznej i wyk</w:t>
      </w:r>
      <w:r w:rsidR="006B2477">
        <w:rPr>
          <w:rFonts w:ascii="Arial" w:hAnsi="Arial" w:cs="Arial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 xml:space="preserve">naniu </w:t>
      </w:r>
      <w:r w:rsidR="006B2477">
        <w:rPr>
          <w:rFonts w:ascii="Arial" w:hAnsi="Arial" w:cs="Arial"/>
          <w:sz w:val="20"/>
          <w:szCs w:val="20"/>
        </w:rPr>
        <w:t>jej zgodnie z przepisami.</w:t>
      </w:r>
    </w:p>
    <w:p w:rsidR="002B0D2F" w:rsidRDefault="002B0D2F">
      <w:pPr>
        <w:rPr>
          <w:rFonts w:ascii="Arial" w:hAnsi="Arial" w:cs="Arial"/>
          <w:sz w:val="20"/>
          <w:szCs w:val="20"/>
        </w:rPr>
      </w:pPr>
    </w:p>
    <w:p w:rsidR="002B0D2F" w:rsidRDefault="002B0D2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Zgodnie z dokumentacją projektową zamówienie obejmuje przebudowę istniejącej instalacji i urządzeń. W tym zakresie przewiduje się wyłącznie zmianę lokalizacji sieci i urządzeń, a nie montaż nowych. W czasie przebudowy w całości należy wykorzystać istniejące materiały i urządzenia, stosując wyłącznie nowe elementy łączeniowe, zaciski</w:t>
      </w:r>
      <w:r w:rsidR="0028262B">
        <w:rPr>
          <w:rFonts w:ascii="Arial" w:hAnsi="Arial" w:cs="Arial"/>
          <w:sz w:val="20"/>
          <w:szCs w:val="20"/>
        </w:rPr>
        <w:t>, rury osłonowe</w:t>
      </w:r>
      <w:r>
        <w:rPr>
          <w:rFonts w:ascii="Arial" w:hAnsi="Arial" w:cs="Arial"/>
          <w:sz w:val="20"/>
          <w:szCs w:val="20"/>
        </w:rPr>
        <w:t xml:space="preserve"> oraz inne niezbędne do realizacji i ukończenia robót, w tym do uruchomienia przebudowywanych sieci i urządzeń. Istniejąca sieć typu NLK rozdzielczo-oświetleniowa stanowi majątek TAURON, dlatego wykonawca zobowiązany jest do prowadzenia robót pod ścisłym nadzorem tego gestora sieci i f</w:t>
      </w:r>
      <w:r w:rsidR="00240BB7">
        <w:rPr>
          <w:rFonts w:ascii="Arial" w:hAnsi="Arial" w:cs="Arial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 xml:space="preserve">nalnie do uzyskania pozytywnych odbiorów ze strony TAURON. 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5.2. Wykopy pod fundamenty i kable</w:t>
      </w:r>
    </w:p>
    <w:p w:rsidR="007904E3" w:rsidRDefault="00380A79">
      <w:pPr>
        <w:pStyle w:val="tekstos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Pod fundamenty prefabrykowane zaleca się wykonywanie wykopów </w:t>
      </w:r>
      <w:proofErr w:type="spellStart"/>
      <w:r>
        <w:rPr>
          <w:rFonts w:ascii="Arial" w:hAnsi="Arial" w:cs="Arial"/>
          <w:sz w:val="20"/>
          <w:szCs w:val="20"/>
        </w:rPr>
        <w:t>wąskoprzestrzennych</w:t>
      </w:r>
      <w:proofErr w:type="spellEnd"/>
      <w:r>
        <w:rPr>
          <w:rFonts w:ascii="Arial" w:hAnsi="Arial" w:cs="Arial"/>
          <w:sz w:val="20"/>
          <w:szCs w:val="20"/>
        </w:rPr>
        <w:t xml:space="preserve"> ręcznie</w:t>
      </w:r>
      <w:r w:rsidR="00AB567E">
        <w:rPr>
          <w:rFonts w:ascii="Arial" w:hAnsi="Arial" w:cs="Arial"/>
          <w:sz w:val="20"/>
          <w:szCs w:val="20"/>
        </w:rPr>
        <w:t xml:space="preserve"> lub przy pomocy wiertnicy</w:t>
      </w:r>
      <w:r>
        <w:rPr>
          <w:rFonts w:ascii="Arial" w:hAnsi="Arial" w:cs="Arial"/>
          <w:sz w:val="20"/>
          <w:szCs w:val="20"/>
        </w:rPr>
        <w:t>. Ich obudowa i zabezpieczenie przed osypywaniem powinno odpowiadać minimalnym wymaganiom BN-83/8836-02 lub równoważne.</w:t>
      </w:r>
      <w:r w:rsidR="00AB567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Wykopy wykonane powinny być bez naruszenia naturalnej struktury dna wykopu i zgodnie z PN-68/B-06050 lub równoważne. Wydobyty grunt powinien być składowany z jednej strony wykopu. Skarpy rowka powinny być wykonane w sposób zapewniający ich stateczność. W celu zabezpieczenia wykopu przed zalaniem wodą z opadów atmosferycznych, należy powierzchnię terenu wyprofilować ze spadkiem umożliwiającym łatwy odpływ wody poza teren przylegający do wykopu. Zasypanie należy wykonać warstwami grubości od 15 do 20 cm i zagęszczać ubijakami ręcznymi lub zagęszczarką wibracyjną. Wskaźnik zagęszczenia gruntu według BN-77/8931-12 lub równoważne. Zagęszczenie należy wykonywać w taki sposób aby nie spowodować uszkodzeń fundamentu lub kabla. </w:t>
      </w:r>
      <w:r>
        <w:rPr>
          <w:rFonts w:ascii="Arial" w:hAnsi="Arial" w:cs="Arial"/>
          <w:sz w:val="20"/>
          <w:szCs w:val="20"/>
        </w:rPr>
        <w:tab/>
        <w:t>Nadmiar gruntu z wykopu, pozostający po zasypaniu fundamentu lub kabla, należy zutylizować. Przy wykonywaniu robót należy przestrzegać zaleceń producentów / dostawców materiałów i urządzeń wybranych przez wykonawcę.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5.</w:t>
      </w:r>
      <w:r w:rsidR="006B2477">
        <w:rPr>
          <w:rFonts w:ascii="Arial" w:hAnsi="Arial" w:cs="Arial"/>
          <w:sz w:val="20"/>
          <w:szCs w:val="20"/>
        </w:rPr>
        <w:t>3</w:t>
      </w:r>
      <w:r>
        <w:rPr>
          <w:rFonts w:ascii="Arial" w:hAnsi="Arial" w:cs="Arial"/>
          <w:sz w:val="20"/>
          <w:szCs w:val="20"/>
        </w:rPr>
        <w:t xml:space="preserve">. Montaż fundamentów </w:t>
      </w:r>
      <w:r w:rsidR="0028262B">
        <w:rPr>
          <w:rFonts w:ascii="Arial" w:hAnsi="Arial" w:cs="Arial"/>
          <w:sz w:val="20"/>
          <w:szCs w:val="20"/>
        </w:rPr>
        <w:t xml:space="preserve">i ustrojów </w:t>
      </w:r>
      <w:r>
        <w:rPr>
          <w:rFonts w:ascii="Arial" w:hAnsi="Arial" w:cs="Arial"/>
          <w:sz w:val="20"/>
          <w:szCs w:val="20"/>
        </w:rPr>
        <w:t>prefabrykowanych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Montaż fundamentów </w:t>
      </w:r>
      <w:r w:rsidR="0028262B">
        <w:rPr>
          <w:rFonts w:ascii="Arial" w:hAnsi="Arial" w:cs="Arial"/>
          <w:sz w:val="20"/>
          <w:szCs w:val="20"/>
        </w:rPr>
        <w:t xml:space="preserve">i ustrojów </w:t>
      </w:r>
      <w:r>
        <w:rPr>
          <w:rFonts w:ascii="Arial" w:hAnsi="Arial" w:cs="Arial"/>
          <w:sz w:val="20"/>
          <w:szCs w:val="20"/>
        </w:rPr>
        <w:t xml:space="preserve">należy wykonać zgodnie z wytycznymi dostawcy / producenta wybranego przez wykonawcę. Fundament </w:t>
      </w:r>
      <w:r w:rsidR="0028262B">
        <w:rPr>
          <w:rFonts w:ascii="Arial" w:hAnsi="Arial" w:cs="Arial"/>
          <w:sz w:val="20"/>
          <w:szCs w:val="20"/>
        </w:rPr>
        <w:t xml:space="preserve">i ustrój </w:t>
      </w:r>
      <w:r>
        <w:rPr>
          <w:rFonts w:ascii="Arial" w:hAnsi="Arial" w:cs="Arial"/>
          <w:sz w:val="20"/>
          <w:szCs w:val="20"/>
        </w:rPr>
        <w:t xml:space="preserve">powinien być ustawiany przy pomocy dźwigu, na 10 cm warstwie betonu min. B 10, spełniającego minimalne wymagania PN-88/B-06250 lub równoważne lub zagęszczonego żwiru spełniającego minimalne wymagania BN-66/6774-01 lub równoważne. Przed jego zasypaniem należy sprawdzić rzędne posadowienia, stan zabezpieczenia antykorozyjnego ścianek i poziom górnej powierzchni, do której przytwierdzona jest płyta mocująca. Maksymalne odchylenie górnej powierzchni fundamentu </w:t>
      </w:r>
      <w:r w:rsidR="0028262B">
        <w:rPr>
          <w:rFonts w:ascii="Arial" w:hAnsi="Arial" w:cs="Arial"/>
          <w:sz w:val="20"/>
          <w:szCs w:val="20"/>
        </w:rPr>
        <w:t xml:space="preserve">lub ustroju </w:t>
      </w:r>
      <w:r>
        <w:rPr>
          <w:rFonts w:ascii="Arial" w:hAnsi="Arial" w:cs="Arial"/>
          <w:sz w:val="20"/>
          <w:szCs w:val="20"/>
        </w:rPr>
        <w:t xml:space="preserve">od poziomu nie powinno przekroczyć 1:1500, z dopuszczalną tolerancją rzędnej posadowienia  </w:t>
      </w:r>
      <w:r>
        <w:rPr>
          <w:rFonts w:ascii="Arial" w:eastAsia="Times New Roman" w:hAnsi="Arial" w:cs="Arial"/>
          <w:sz w:val="20"/>
          <w:szCs w:val="20"/>
        </w:rPr>
        <w:t>±</w:t>
      </w:r>
      <w:r>
        <w:rPr>
          <w:rFonts w:ascii="Arial" w:hAnsi="Arial" w:cs="Arial"/>
          <w:sz w:val="20"/>
          <w:szCs w:val="20"/>
        </w:rPr>
        <w:t xml:space="preserve"> 2 </w:t>
      </w:r>
      <w:proofErr w:type="spellStart"/>
      <w:r>
        <w:rPr>
          <w:rFonts w:ascii="Arial" w:hAnsi="Arial" w:cs="Arial"/>
          <w:sz w:val="20"/>
          <w:szCs w:val="20"/>
        </w:rPr>
        <w:t>cm</w:t>
      </w:r>
      <w:proofErr w:type="spellEnd"/>
      <w:r>
        <w:rPr>
          <w:rFonts w:ascii="Arial" w:hAnsi="Arial" w:cs="Arial"/>
          <w:sz w:val="20"/>
          <w:szCs w:val="20"/>
        </w:rPr>
        <w:t xml:space="preserve">. Ustawienie fundamentu </w:t>
      </w:r>
      <w:r w:rsidR="0028262B">
        <w:rPr>
          <w:rFonts w:ascii="Arial" w:hAnsi="Arial" w:cs="Arial"/>
          <w:sz w:val="20"/>
          <w:szCs w:val="20"/>
        </w:rPr>
        <w:t xml:space="preserve">lub ustroju </w:t>
      </w:r>
      <w:r>
        <w:rPr>
          <w:rFonts w:ascii="Arial" w:hAnsi="Arial" w:cs="Arial"/>
          <w:sz w:val="20"/>
          <w:szCs w:val="20"/>
        </w:rPr>
        <w:t xml:space="preserve">w planie powinno być wykonane z dokładnością </w:t>
      </w:r>
      <w:r>
        <w:rPr>
          <w:rFonts w:ascii="Arial" w:eastAsia="Times New Roman" w:hAnsi="Arial" w:cs="Arial"/>
          <w:sz w:val="20"/>
          <w:szCs w:val="20"/>
        </w:rPr>
        <w:t>±</w:t>
      </w:r>
      <w:r>
        <w:rPr>
          <w:rFonts w:ascii="Arial" w:hAnsi="Arial" w:cs="Arial"/>
          <w:sz w:val="20"/>
          <w:szCs w:val="20"/>
        </w:rPr>
        <w:t xml:space="preserve"> 10 </w:t>
      </w:r>
      <w:proofErr w:type="spellStart"/>
      <w:r>
        <w:rPr>
          <w:rFonts w:ascii="Arial" w:hAnsi="Arial" w:cs="Arial"/>
          <w:sz w:val="20"/>
          <w:szCs w:val="20"/>
        </w:rPr>
        <w:t>cm</w:t>
      </w:r>
      <w:proofErr w:type="spellEnd"/>
      <w:r>
        <w:rPr>
          <w:rFonts w:ascii="Arial" w:hAnsi="Arial" w:cs="Arial"/>
          <w:sz w:val="20"/>
          <w:szCs w:val="20"/>
        </w:rPr>
        <w:t>. Przy wykonywaniu robót należy przestrzegać zaleceń producentów / dostawców materiałów i urządzeń wybranych przez wykonawcę.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5.</w:t>
      </w:r>
      <w:r w:rsidR="006B2477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>. Montaż słupów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Słupy należy ustawiać dźwigiem. Spód słupa powinien opierać się na warstwie betonu marki min. B 10 wg PN-88/B-06250 lub równoważne grubości min. 10 </w:t>
      </w:r>
      <w:proofErr w:type="spellStart"/>
      <w:r>
        <w:rPr>
          <w:rFonts w:ascii="Arial" w:hAnsi="Arial" w:cs="Arial"/>
          <w:sz w:val="20"/>
          <w:szCs w:val="20"/>
        </w:rPr>
        <w:t>cm</w:t>
      </w:r>
      <w:proofErr w:type="spellEnd"/>
      <w:r>
        <w:rPr>
          <w:rFonts w:ascii="Arial" w:hAnsi="Arial" w:cs="Arial"/>
          <w:sz w:val="20"/>
          <w:szCs w:val="20"/>
        </w:rPr>
        <w:t>. Odchyłka osi słupa od pionu, po jego ustawieniu, nie może być większa niż 0,001 wysokości słupa. Słup należy ustawiać tak, aby jego wnęka znajdowała się od strony chodnika, a przy jego braku, od strony przeciwnej niż nadjeżdżające pojazdy oraz nie powinna być położona niżej niż 20 cm od powierzchni chodnika lub gruntu. Przy wykonywaniu robót należy przestrzegać zaleceń producentów / dostawców materiałów i urządzeń wybranych przez wykonawcę.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5.</w:t>
      </w:r>
      <w:r w:rsidR="006B2477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>. Montaż opraw</w:t>
      </w:r>
    </w:p>
    <w:p w:rsidR="007904E3" w:rsidRDefault="006B247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Montaż opraw </w:t>
      </w:r>
      <w:r w:rsidR="00380A79">
        <w:rPr>
          <w:rFonts w:ascii="Arial" w:hAnsi="Arial" w:cs="Arial"/>
          <w:sz w:val="20"/>
          <w:szCs w:val="20"/>
        </w:rPr>
        <w:t>należy wykonywać przy pomocy samochodu z balkonem. Każdą oprawę przed zamontowaniem należy podłączyć do sieci i sprawdzić jej działanie (sprawdzenie zaświecenia się lampy). Oprawy powinny być mocowane w sposób trwały, aby nie zmieniały swego położenia pod wpływem warunków atmosferycznych i parcia wiatru. Przy wykonywaniu robót należy przestrzegać zaleceń producentów / dostawców materiałów i urządzeń wybranych przez wykonawcę.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5.</w:t>
      </w:r>
      <w:r w:rsidR="006B2477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>. Układanie kabli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Kable należy układać w trasach wytyczonych przez służby geodezyjne wykonawcy. Układanie kabli powinno być zgodne z normą PN-76/E-05125 lub równoważne. Kable powinny być układane w sposób wykluczający ich uszkodzenie przez zginanie, skręcanie, rozciąganie itp. Temperatura otoczenia przy układaniu kabli nie powinna być mniejsza niż 0</w:t>
      </w:r>
      <w:r>
        <w:rPr>
          <w:rFonts w:ascii="Arial" w:hAnsi="Arial" w:cs="Arial"/>
          <w:sz w:val="20"/>
          <w:szCs w:val="20"/>
          <w:vertAlign w:val="superscript"/>
        </w:rPr>
        <w:t>o</w:t>
      </w:r>
      <w:r>
        <w:rPr>
          <w:rFonts w:ascii="Arial" w:hAnsi="Arial" w:cs="Arial"/>
          <w:sz w:val="20"/>
          <w:szCs w:val="20"/>
        </w:rPr>
        <w:t xml:space="preserve">C. Kabel można zginać jedynie w przypadkach koniecznych, przy czym promień gięcia powinien być możliwie duży, jednak nie mniejszy niż 10-krotna zewnętrzna jego średnica. Bezpośrednio w gruncie kable należy układać na głębokości 0,7 m z dokładnością 5 cm na warstwie piasku o grubości 10 cm z przykryciem również 10 cm warstwą piasku, a następnie warstwą gruntu rodzimego o grubości co najmniej 15 </w:t>
      </w:r>
      <w:proofErr w:type="spellStart"/>
      <w:r>
        <w:rPr>
          <w:rFonts w:ascii="Arial" w:hAnsi="Arial" w:cs="Arial"/>
          <w:sz w:val="20"/>
          <w:szCs w:val="20"/>
        </w:rPr>
        <w:t>cm</w:t>
      </w:r>
      <w:proofErr w:type="spellEnd"/>
      <w:r>
        <w:rPr>
          <w:rFonts w:ascii="Arial" w:hAnsi="Arial" w:cs="Arial"/>
          <w:sz w:val="20"/>
          <w:szCs w:val="20"/>
        </w:rPr>
        <w:t xml:space="preserve">. Jako ochronę przed uszkodzeniami mechanicznymi, wzdłuż całej trasy, co najmniej 25 cm nad kablem, należy układać folię koloru niebieskiego szerokości 20 </w:t>
      </w:r>
      <w:proofErr w:type="spellStart"/>
      <w:r>
        <w:rPr>
          <w:rFonts w:ascii="Arial" w:hAnsi="Arial" w:cs="Arial"/>
          <w:sz w:val="20"/>
          <w:szCs w:val="20"/>
        </w:rPr>
        <w:t>cm</w:t>
      </w:r>
      <w:proofErr w:type="spellEnd"/>
      <w:r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ab/>
        <w:t>Przy skrzyżowaniu z innymi instalacjami podziemnymi lub z drogami, kabel należy układać w przepustach kablowych</w:t>
      </w:r>
      <w:r w:rsidR="00AB567E">
        <w:rPr>
          <w:rFonts w:ascii="Arial" w:hAnsi="Arial" w:cs="Arial"/>
          <w:sz w:val="20"/>
          <w:szCs w:val="20"/>
        </w:rPr>
        <w:t xml:space="preserve"> (rurach ochronnych)</w:t>
      </w:r>
      <w:r>
        <w:rPr>
          <w:rFonts w:ascii="Arial" w:hAnsi="Arial" w:cs="Arial"/>
          <w:sz w:val="20"/>
          <w:szCs w:val="20"/>
        </w:rPr>
        <w:t xml:space="preserve">. Przepusty powinny być zabezpieczone przed przedostawaniem się do ich wnętrza wody i przed ich zamuleniem. Kabel ułożony w ziemi na całej swej długości powinien posiadać oznaczniki identyfikacyjne. Po wykonaniu linii kablowej należy pomierzyć rezystancję izolacji poszczególnych odcinków kabla. Przy wykonywaniu robót należy przestrzegać zaleceń producentów / dostawców materiałów i urządzeń wybranych przez wykonawcę. 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5.</w:t>
      </w:r>
      <w:r w:rsidR="006B2477">
        <w:rPr>
          <w:rFonts w:ascii="Arial" w:hAnsi="Arial" w:cs="Arial"/>
          <w:sz w:val="20"/>
          <w:szCs w:val="20"/>
        </w:rPr>
        <w:t>7</w:t>
      </w:r>
      <w:r>
        <w:rPr>
          <w:rFonts w:ascii="Arial" w:hAnsi="Arial" w:cs="Arial"/>
          <w:sz w:val="20"/>
          <w:szCs w:val="20"/>
        </w:rPr>
        <w:t>. Wykonanie dodatkowej ochrony przeciwporażeniowej</w:t>
      </w:r>
    </w:p>
    <w:p w:rsidR="007904E3" w:rsidRDefault="00380A79">
      <w:pPr>
        <w:pStyle w:val="Heading2"/>
        <w:rPr>
          <w:rFonts w:ascii="Arial" w:hAnsi="Arial" w:cs="Arial"/>
          <w:b w:val="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5.</w:t>
      </w:r>
      <w:r w:rsidR="006B2477">
        <w:rPr>
          <w:rFonts w:ascii="Arial" w:hAnsi="Arial" w:cs="Arial"/>
          <w:sz w:val="20"/>
          <w:szCs w:val="20"/>
        </w:rPr>
        <w:t>7</w:t>
      </w:r>
      <w:r>
        <w:rPr>
          <w:rFonts w:ascii="Arial" w:hAnsi="Arial" w:cs="Arial"/>
          <w:sz w:val="20"/>
          <w:szCs w:val="20"/>
        </w:rPr>
        <w:t xml:space="preserve">.1. </w:t>
      </w:r>
      <w:r>
        <w:rPr>
          <w:rFonts w:ascii="Arial" w:hAnsi="Arial" w:cs="Arial"/>
          <w:b w:val="0"/>
          <w:sz w:val="20"/>
          <w:szCs w:val="20"/>
        </w:rPr>
        <w:t>Zerowanie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Zerowanie polega na połączeniu części przewodzących dostępnych z uziemionym przewodem ochronnym PE lub ochronno-neutralnym PEN i powodującym w warunkach zakłóceniowych odłączenie zasilania. Dodatkowo przy szafie oświetleniowej, na końcu linii oświetleniowej i na końcu każdego odgałęzienia o długości większej niż 200 m, należy wykonać uziomy, których rezystancja nie może przekraczać 5 omów. Uziom z zaciskami zerowymi znajdującymi się w szafie oświetleniowej i latarniach, należy łączyć przewodami </w:t>
      </w:r>
      <w:proofErr w:type="spellStart"/>
      <w:r>
        <w:rPr>
          <w:rFonts w:ascii="Arial" w:hAnsi="Arial" w:cs="Arial"/>
          <w:sz w:val="20"/>
          <w:szCs w:val="20"/>
        </w:rPr>
        <w:t>uziomowymi</w:t>
      </w:r>
      <w:proofErr w:type="spellEnd"/>
      <w:r>
        <w:rPr>
          <w:rFonts w:ascii="Arial" w:hAnsi="Arial" w:cs="Arial"/>
          <w:sz w:val="20"/>
          <w:szCs w:val="20"/>
        </w:rPr>
        <w:t xml:space="preserve"> o przekrojach nie mniejszych od przekroju uziomu poziomego. Przy wykonywaniu robót należy przestrzegać zaleceń producentów / dostawców materiałów i urządzeń wybranych przez wykonawcę</w:t>
      </w:r>
    </w:p>
    <w:p w:rsidR="007904E3" w:rsidRDefault="00380A79">
      <w:pPr>
        <w:pStyle w:val="Heading2"/>
        <w:rPr>
          <w:rFonts w:ascii="Arial" w:hAnsi="Arial" w:cs="Arial"/>
          <w:b w:val="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5.</w:t>
      </w:r>
      <w:r w:rsidR="006B2477">
        <w:rPr>
          <w:rFonts w:ascii="Arial" w:hAnsi="Arial" w:cs="Arial"/>
          <w:sz w:val="20"/>
          <w:szCs w:val="20"/>
        </w:rPr>
        <w:t>7</w:t>
      </w:r>
      <w:r>
        <w:rPr>
          <w:rFonts w:ascii="Arial" w:hAnsi="Arial" w:cs="Arial"/>
          <w:sz w:val="20"/>
          <w:szCs w:val="20"/>
        </w:rPr>
        <w:t xml:space="preserve">.2. </w:t>
      </w:r>
      <w:r w:rsidR="0028262B" w:rsidRPr="0028262B">
        <w:rPr>
          <w:rFonts w:ascii="Arial" w:hAnsi="Arial" w:cs="Arial"/>
          <w:b w:val="0"/>
          <w:sz w:val="20"/>
          <w:szCs w:val="20"/>
        </w:rPr>
        <w:t>Odtworzenie</w:t>
      </w:r>
      <w:r w:rsidR="0028262B">
        <w:rPr>
          <w:rFonts w:ascii="Arial" w:hAnsi="Arial" w:cs="Arial"/>
          <w:sz w:val="20"/>
          <w:szCs w:val="20"/>
        </w:rPr>
        <w:t xml:space="preserve"> </w:t>
      </w:r>
      <w:r w:rsidR="0028262B">
        <w:rPr>
          <w:rFonts w:ascii="Arial" w:hAnsi="Arial" w:cs="Arial"/>
          <w:b w:val="0"/>
          <w:sz w:val="20"/>
          <w:szCs w:val="20"/>
        </w:rPr>
        <w:t>u</w:t>
      </w:r>
      <w:r>
        <w:rPr>
          <w:rFonts w:ascii="Arial" w:hAnsi="Arial" w:cs="Arial"/>
          <w:b w:val="0"/>
          <w:sz w:val="20"/>
          <w:szCs w:val="20"/>
        </w:rPr>
        <w:t>ziemieni</w:t>
      </w:r>
      <w:r w:rsidR="0028262B">
        <w:rPr>
          <w:rFonts w:ascii="Arial" w:hAnsi="Arial" w:cs="Arial"/>
          <w:b w:val="0"/>
          <w:sz w:val="20"/>
          <w:szCs w:val="20"/>
        </w:rPr>
        <w:t>a</w:t>
      </w:r>
    </w:p>
    <w:p w:rsidR="007904E3" w:rsidRDefault="0028262B">
      <w:pPr>
        <w:pStyle w:val="tekstos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Odtworzenie u</w:t>
      </w:r>
      <w:r w:rsidR="00380A79">
        <w:rPr>
          <w:rFonts w:ascii="Arial" w:hAnsi="Arial" w:cs="Arial"/>
          <w:sz w:val="20"/>
          <w:szCs w:val="20"/>
        </w:rPr>
        <w:t>ziemieni</w:t>
      </w:r>
      <w:r>
        <w:rPr>
          <w:rFonts w:ascii="Arial" w:hAnsi="Arial" w:cs="Arial"/>
          <w:sz w:val="20"/>
          <w:szCs w:val="20"/>
        </w:rPr>
        <w:t>a</w:t>
      </w:r>
      <w:r w:rsidR="00380A79">
        <w:rPr>
          <w:rFonts w:ascii="Arial" w:hAnsi="Arial" w:cs="Arial"/>
          <w:sz w:val="20"/>
          <w:szCs w:val="20"/>
        </w:rPr>
        <w:t xml:space="preserve"> polega na połączeniu części przewodzących dostępnych z uziomami w sposób powodujący samoczynne odłączenie zasilania, w warunkach zakłóceniowych. Zaleca się wykonywanie uziomu taśmowego, układając w jednym rowie z kablem oświetleniowym, bednarkę ocynkowaną, która następnie powinna być wprowadzona do wnęk latarń, masztów i szafy oświetleniowej i połączona z zaciskami ochronnymi. Zaciski te mogą spełniać również rolę zacisków probierczych. Ewentualne łączenie odcinków bednarki należy wykonywać przez spawanie. Bednarka w ziemi nie powinna być układana płycej niż 0,6 m i powinna być zasypana gruntem bez kamieni, żwiru i gruzu. Przy wykonywaniu </w:t>
      </w:r>
      <w:r w:rsidR="00380A79">
        <w:rPr>
          <w:rFonts w:ascii="Arial" w:hAnsi="Arial" w:cs="Arial"/>
          <w:sz w:val="20"/>
          <w:szCs w:val="20"/>
        </w:rPr>
        <w:lastRenderedPageBreak/>
        <w:t>robót należy przestrzegać zaleceń producentów / dostawców materiałów i urządzeń wybranych przez wykonawcę.</w:t>
      </w:r>
    </w:p>
    <w:p w:rsidR="007904E3" w:rsidRDefault="00380A79">
      <w:pPr>
        <w:pStyle w:val="Heading1"/>
        <w:rPr>
          <w:rFonts w:ascii="Arial" w:hAnsi="Arial" w:cs="Arial"/>
          <w:sz w:val="20"/>
          <w:szCs w:val="20"/>
        </w:rPr>
      </w:pPr>
      <w:bookmarkStart w:id="13" w:name="_Toc450718598"/>
      <w:bookmarkStart w:id="14" w:name="_Toc451138868"/>
      <w:bookmarkEnd w:id="13"/>
      <w:bookmarkEnd w:id="14"/>
      <w:r>
        <w:rPr>
          <w:rFonts w:ascii="Arial" w:hAnsi="Arial" w:cs="Arial"/>
          <w:sz w:val="20"/>
          <w:szCs w:val="20"/>
        </w:rPr>
        <w:t>6. kontrola jakości robót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6.1. Ogólne zasady kontroli jakości robót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Ogólne zasady kontroli jakości robót podano w ST-D-00 „Wymagania ogólne”. Przy wykonywaniu robót należy przestrzegać zaleceń producentów / dostawców materiałów i urządzeń wybranych przez wykonawcę.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6.2. Wykopy pod fundamenty i kable</w:t>
      </w:r>
    </w:p>
    <w:p w:rsidR="007904E3" w:rsidRDefault="00205E1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 zasypaniu fundamentów </w:t>
      </w:r>
      <w:r w:rsidR="00380A79">
        <w:rPr>
          <w:rFonts w:ascii="Arial" w:hAnsi="Arial" w:cs="Arial"/>
          <w:sz w:val="20"/>
          <w:szCs w:val="20"/>
        </w:rPr>
        <w:t>lub kabli należy sprawdzić wskaźnik zagęszczenia gruntu.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6.3. Fundamenty 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Program badań powinien obejmować sprawdzenie kształtu i wymiarów, wyglądu zewnętrznego oraz wytrzymałości. Parametry te powinny być zgodne z minimalnymi wymaganiami minimalnymi zawartymi w dokumentacji projektowej oraz minimalnymi wymaganiami PN-80/B-03322 lub równoważne i PN-88/B-30000 lub równoważne. Ponadto należy sprawdzić dokładność ustawienia w planie i rzędne posadowienia.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6.4. Latarnie 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Elementy latarń powinny być zgodne z dokumentacją projektową i BN-79/9068-01 lub równoważne. Latarnie i maszty oświetleniowe, po ich montażu, podlegają sprawdzeniu pod względem:</w:t>
      </w:r>
    </w:p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dokładności ustawienia pionowego słupów,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prawidłowości ustawienia względem osi oświetlanej jezdni,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jakości połączeń kabli i przewodów na tabliczce bezpiecznikowo-zaciskowej oraz na zaciskach oprawy,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jakości połączeń śrubowych,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stanu antykorozyjnej powłoki ochronnej wszystkich elementów.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6.5. Linia kablowa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 czasie wykonywania i po zakończeniu robót kablowych należy przeprowadzić następujące pomiary:</w:t>
      </w:r>
    </w:p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głębokości zakopania kabla,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grubości podsypki piaskowej nad i pod kablem,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odległości folii ochronnej od kabla,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rezystancji izolacji i ciągłości żył kabla.</w:t>
      </w:r>
    </w:p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Pomiary należy wykonywać co 10 m budowanej linii kablowej, za wyjątkiem pomiarów rezystancji i ciągłości żył kabla, które należy wykonywać dla każdego odcinka kabla. Ponadto należy sprawdzić wskaźnik zagęszczenia gruntu nad kablem.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</w:t>
      </w:r>
      <w:r w:rsidR="0028262B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>. Instalacja przeciwporażeniowa</w:t>
      </w:r>
    </w:p>
    <w:p w:rsidR="007904E3" w:rsidRDefault="002B0D2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</w:t>
      </w:r>
      <w:r w:rsidR="00380A79">
        <w:rPr>
          <w:rFonts w:ascii="Arial" w:hAnsi="Arial" w:cs="Arial"/>
          <w:sz w:val="20"/>
          <w:szCs w:val="20"/>
        </w:rPr>
        <w:t xml:space="preserve">ależy wykonać pomiar głębokości ułożenia bednarki oraz sprawdzić stan połączeń spawanych, a po jej zasypaniu, sprawdzić wskaźnik zagęszczenia i rozplantowanie gruntu. Pomiary głębokości ułożenia bednarki należy wykonywać co 10 m, przy czym bednarka nie powinna być zakopana płycej niż 60 </w:t>
      </w:r>
      <w:proofErr w:type="spellStart"/>
      <w:r w:rsidR="00380A79">
        <w:rPr>
          <w:rFonts w:ascii="Arial" w:hAnsi="Arial" w:cs="Arial"/>
          <w:sz w:val="20"/>
          <w:szCs w:val="20"/>
        </w:rPr>
        <w:t>cm</w:t>
      </w:r>
      <w:proofErr w:type="spellEnd"/>
      <w:r w:rsidR="00380A79">
        <w:rPr>
          <w:rFonts w:ascii="Arial" w:hAnsi="Arial" w:cs="Arial"/>
          <w:sz w:val="20"/>
          <w:szCs w:val="20"/>
        </w:rPr>
        <w:t>. Po wykonaniu uziomów ochronnych należy wykonać pomiary ich rezystancji. Po wykonaniu instalacji oświetleniowej należy pomierzyć (przy zerowaniu) impedancje pętli zwarciowych dla stwierdzenia skuteczności zerowania. Wszystkie wyniki pomiarów należy zamieścić w protokóle pomiarowym ochrony przeciwporażeniowej. Wyniki podlegają zatwierdzeniu przez Inspektora.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</w:t>
      </w:r>
      <w:r w:rsidR="0028262B">
        <w:rPr>
          <w:rFonts w:ascii="Arial" w:hAnsi="Arial" w:cs="Arial"/>
          <w:sz w:val="20"/>
          <w:szCs w:val="20"/>
        </w:rPr>
        <w:t>7</w:t>
      </w:r>
      <w:r>
        <w:rPr>
          <w:rFonts w:ascii="Arial" w:hAnsi="Arial" w:cs="Arial"/>
          <w:sz w:val="20"/>
          <w:szCs w:val="20"/>
        </w:rPr>
        <w:t>. Zasady postępowania z wadliwie wykonanymi elementami robót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Wszystkie materiały nie spełniające minimalnych wymagań ustalonych w ST lub dokumentacji projektowej, zostaną przez Inspektora odrzucone. Wszystkie elementy robót, które wykazują odstępstwa od postanowień ST lub dokumentacji projektowej zostaną rozebrane i ponownie wykonane na koszt wykonawcy.</w:t>
      </w:r>
    </w:p>
    <w:p w:rsidR="007904E3" w:rsidRDefault="00380A79">
      <w:pPr>
        <w:pStyle w:val="Heading1"/>
        <w:rPr>
          <w:rFonts w:ascii="Arial" w:hAnsi="Arial" w:cs="Arial"/>
          <w:sz w:val="20"/>
          <w:szCs w:val="20"/>
        </w:rPr>
      </w:pPr>
      <w:bookmarkStart w:id="15" w:name="_Toc450718599"/>
      <w:bookmarkStart w:id="16" w:name="_Toc451138869"/>
      <w:bookmarkEnd w:id="15"/>
      <w:bookmarkEnd w:id="16"/>
      <w:r>
        <w:rPr>
          <w:rFonts w:ascii="Arial" w:hAnsi="Arial" w:cs="Arial"/>
          <w:sz w:val="20"/>
          <w:szCs w:val="20"/>
        </w:rPr>
        <w:t>7. PRZEDMIAR I obmiar robót</w:t>
      </w:r>
    </w:p>
    <w:p w:rsidR="007904E3" w:rsidRPr="00205E13" w:rsidRDefault="00205E13">
      <w:pPr>
        <w:tabs>
          <w:tab w:val="right" w:leader="dot" w:pos="-1985"/>
          <w:tab w:val="left" w:pos="426"/>
          <w:tab w:val="right" w:leader="dot" w:pos="8505"/>
        </w:tabs>
        <w:spacing w:before="240"/>
        <w:ind w:right="1"/>
        <w:rPr>
          <w:rFonts w:ascii="Arial" w:hAnsi="Arial" w:cs="Arial"/>
          <w:sz w:val="20"/>
          <w:szCs w:val="20"/>
        </w:rPr>
      </w:pPr>
      <w:r w:rsidRPr="00205E13">
        <w:rPr>
          <w:rFonts w:ascii="Arial" w:eastAsia="Symbol" w:hAnsi="Arial" w:cs="Arial"/>
          <w:sz w:val="20"/>
          <w:szCs w:val="20"/>
        </w:rPr>
        <w:t>Ogólne zasady podano w ST-D-00 „Wymagania ogólne”. Pomocniczy p</w:t>
      </w:r>
      <w:r w:rsidRPr="00205E13">
        <w:rPr>
          <w:rFonts w:ascii="Arial" w:eastAsia="Symbol" w:hAnsi="Arial" w:cs="Arial"/>
          <w:color w:val="000000"/>
          <w:sz w:val="20"/>
          <w:szCs w:val="20"/>
        </w:rPr>
        <w:t>rzedmiar robót i obmiar robót nie mają wpływu na wysokość wynagrodzenia ryczałtowego. Przedmiar robót stanowi dokument pomocniczy. Zwiększenie lub zmniejszenie ilości przedmiarowych robót, a także realizacja robót nie wskazanych w pomocniczym przedmiarze robót, a opisanych lub wynikających z Umowy, dokumentacji projektowej, SWZ lub STWiORB oraz realizacja innych robót niezbędnych do prawidłowego wykonania i ukończenia całości przedmiotu Umowy – nie będzie stanowić podstawy do zmiany wynagrodzenia ryczałtowego wykonawcy</w:t>
      </w:r>
      <w:r w:rsidR="00380A79" w:rsidRPr="00205E13">
        <w:rPr>
          <w:rFonts w:ascii="Arial" w:hAnsi="Arial" w:cs="Arial"/>
          <w:color w:val="0D0D0D"/>
          <w:sz w:val="20"/>
          <w:szCs w:val="20"/>
        </w:rPr>
        <w:t>.</w:t>
      </w:r>
    </w:p>
    <w:p w:rsidR="007904E3" w:rsidRDefault="00380A79">
      <w:pPr>
        <w:pStyle w:val="Heading1"/>
        <w:tabs>
          <w:tab w:val="left" w:pos="2322"/>
        </w:tabs>
        <w:rPr>
          <w:rFonts w:ascii="Arial" w:hAnsi="Arial" w:cs="Arial"/>
          <w:sz w:val="20"/>
          <w:szCs w:val="20"/>
        </w:rPr>
      </w:pPr>
      <w:bookmarkStart w:id="17" w:name="_Toc450718600"/>
      <w:bookmarkStart w:id="18" w:name="_Toc451138870"/>
      <w:bookmarkEnd w:id="17"/>
      <w:bookmarkEnd w:id="18"/>
      <w:r>
        <w:rPr>
          <w:rFonts w:ascii="Arial" w:hAnsi="Arial" w:cs="Arial"/>
          <w:sz w:val="20"/>
          <w:szCs w:val="20"/>
        </w:rPr>
        <w:lastRenderedPageBreak/>
        <w:t xml:space="preserve">8. odbiór robót   </w:t>
      </w:r>
      <w:r>
        <w:rPr>
          <w:rFonts w:ascii="Arial" w:hAnsi="Arial" w:cs="Arial"/>
          <w:sz w:val="20"/>
          <w:szCs w:val="20"/>
        </w:rPr>
        <w:tab/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8.1. Ogólne zasady odbioru robót</w:t>
      </w:r>
    </w:p>
    <w:p w:rsidR="007904E3" w:rsidRDefault="00380A79">
      <w:pPr>
        <w:pStyle w:val="tekstost"/>
        <w:rPr>
          <w:rFonts w:ascii="Arial" w:hAnsi="Arial" w:cs="Arial"/>
          <w:sz w:val="20"/>
          <w:szCs w:val="20"/>
        </w:rPr>
      </w:pPr>
      <w:r>
        <w:rPr>
          <w:rFonts w:ascii="Arial" w:eastAsia="Symbol" w:hAnsi="Arial" w:cs="Arial"/>
          <w:sz w:val="20"/>
        </w:rPr>
        <w:t xml:space="preserve">Ogólne zasady odbioru robót podano w ST-D-00 „Wymagania ogólne”. Roboty uznaje się za wykonane zgodnie z dokumentacją projektową, SWZ, </w:t>
      </w:r>
      <w:r>
        <w:rPr>
          <w:rFonts w:ascii="Arial" w:eastAsia="Symbol" w:hAnsi="Arial" w:cs="Arial"/>
          <w:color w:val="000000"/>
          <w:sz w:val="20"/>
        </w:rPr>
        <w:t>STWiORB, Umową</w:t>
      </w:r>
      <w:r>
        <w:rPr>
          <w:rFonts w:ascii="Arial" w:eastAsia="Symbol" w:hAnsi="Arial" w:cs="Arial"/>
          <w:sz w:val="20"/>
        </w:rPr>
        <w:t xml:space="preserve"> i wymaganiami Inspektora nadzoru, jeżeli wszystkie pomiary i badania z zachowaniem tolerancji dały wyniki pozytywne</w:t>
      </w:r>
      <w:r>
        <w:rPr>
          <w:rFonts w:ascii="Arial" w:hAnsi="Arial" w:cs="Arial"/>
          <w:sz w:val="20"/>
          <w:szCs w:val="20"/>
        </w:rPr>
        <w:t>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8.2. Odbiór robót zanikających i ulegających zakryciu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Odbiorowi robót zanikających i ulegających zakryciu podlegają:</w:t>
      </w:r>
    </w:p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wykopy pod fundamenty i kable,</w:t>
      </w:r>
    </w:p>
    <w:p w:rsidR="007904E3" w:rsidRDefault="00205E13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wykonanie fundamentów</w:t>
      </w:r>
      <w:r w:rsidR="00380A79">
        <w:rPr>
          <w:rFonts w:ascii="Arial" w:hAnsi="Arial" w:cs="Arial"/>
          <w:sz w:val="20"/>
          <w:szCs w:val="20"/>
        </w:rPr>
        <w:t>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ułożenie kabla z wykonaniem podsypki pod i nad kablem,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wykonanie uziomów taśmowych.</w:t>
      </w:r>
    </w:p>
    <w:p w:rsidR="007904E3" w:rsidRDefault="00380A79">
      <w:pPr>
        <w:pStyle w:val="Heading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8.3. Dokumenty do odbioru końcowego robót</w:t>
      </w:r>
    </w:p>
    <w:p w:rsidR="007904E3" w:rsidRDefault="00380A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Do odbioru końcowego wykonawca jest zobowiązany przygotować, oprócz dokumentów wymienionych w ST-D-00 „Wymagania ogólne”:</w:t>
      </w:r>
    </w:p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geodezyjną dokumentację powykonawczą,</w:t>
      </w:r>
    </w:p>
    <w:p w:rsidR="007904E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protokóły z dokonanych pomiarów skuteczności zerowania zastosowanej ochrony przeciwporażeniowej,</w:t>
      </w:r>
    </w:p>
    <w:p w:rsidR="00205E13" w:rsidRDefault="00380A79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protokoły z pozostałych pomiarów</w:t>
      </w:r>
      <w:r w:rsidR="00205E13">
        <w:rPr>
          <w:rFonts w:ascii="Arial" w:hAnsi="Arial" w:cs="Arial"/>
          <w:sz w:val="20"/>
          <w:szCs w:val="20"/>
        </w:rPr>
        <w:t>, w tym uziemień, stanu izolacji,</w:t>
      </w:r>
    </w:p>
    <w:p w:rsidR="007904E3" w:rsidRDefault="00205E13">
      <w:pPr>
        <w:numPr>
          <w:ilvl w:val="0"/>
          <w:numId w:val="1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protokołu / odbiory TAURON</w:t>
      </w:r>
      <w:r w:rsidR="00380A79">
        <w:rPr>
          <w:rFonts w:ascii="Arial" w:hAnsi="Arial" w:cs="Arial"/>
          <w:sz w:val="20"/>
          <w:szCs w:val="20"/>
        </w:rPr>
        <w:t>.</w:t>
      </w:r>
    </w:p>
    <w:p w:rsidR="007904E3" w:rsidRDefault="00380A79">
      <w:pPr>
        <w:pStyle w:val="Heading1"/>
        <w:rPr>
          <w:rFonts w:ascii="Arial" w:hAnsi="Arial" w:cs="Arial"/>
          <w:sz w:val="20"/>
          <w:szCs w:val="20"/>
        </w:rPr>
      </w:pPr>
      <w:bookmarkStart w:id="19" w:name="_Toc450718601"/>
      <w:bookmarkStart w:id="20" w:name="_Toc451138871"/>
      <w:bookmarkEnd w:id="19"/>
      <w:bookmarkEnd w:id="20"/>
      <w:r>
        <w:rPr>
          <w:rFonts w:ascii="Arial" w:hAnsi="Arial" w:cs="Arial"/>
          <w:sz w:val="20"/>
          <w:szCs w:val="20"/>
        </w:rPr>
        <w:t>9. podstawa płatności</w:t>
      </w:r>
    </w:p>
    <w:p w:rsidR="007904E3" w:rsidRPr="00205E13" w:rsidRDefault="00205E13">
      <w:pPr>
        <w:tabs>
          <w:tab w:val="right" w:leader="dot" w:pos="-1985"/>
          <w:tab w:val="left" w:pos="426"/>
          <w:tab w:val="right" w:leader="dot" w:pos="8505"/>
        </w:tabs>
        <w:spacing w:before="240"/>
        <w:ind w:right="13"/>
        <w:rPr>
          <w:rFonts w:ascii="Arial" w:hAnsi="Arial" w:cs="Arial"/>
          <w:color w:val="0D0D0D"/>
          <w:sz w:val="20"/>
          <w:szCs w:val="20"/>
        </w:rPr>
      </w:pPr>
      <w:r w:rsidRPr="00205E13">
        <w:rPr>
          <w:rFonts w:ascii="Arial" w:eastAsia="Symbol" w:hAnsi="Arial" w:cs="Arial"/>
          <w:color w:val="000000"/>
          <w:sz w:val="20"/>
          <w:szCs w:val="20"/>
        </w:rPr>
        <w:t>Ogólne ustalenia dotyczące podstawy płatności podano w ST-D-00 „Wymagania ogólne”. Wynagrodzenie za wykonanie robót objętych przedmiotem zamówienia i niniejszą ST ma charakter niezmiennego wynagrodzenia ryczałtowego i nie będzie podlegać jakiemukolwiek odrębnemu lub dodatkowemu rozliczeniu</w:t>
      </w:r>
      <w:r w:rsidR="00380A79" w:rsidRPr="00205E13">
        <w:rPr>
          <w:rFonts w:ascii="Arial" w:hAnsi="Arial" w:cs="Arial"/>
          <w:color w:val="0D0D0D"/>
          <w:sz w:val="20"/>
          <w:szCs w:val="20"/>
        </w:rPr>
        <w:t>.</w:t>
      </w:r>
    </w:p>
    <w:p w:rsidR="007904E3" w:rsidRDefault="00380A79">
      <w:pPr>
        <w:pStyle w:val="Heading1"/>
      </w:pPr>
      <w:bookmarkStart w:id="21" w:name="_Toc450718602"/>
      <w:bookmarkStart w:id="22" w:name="_Toc451138872"/>
      <w:bookmarkEnd w:id="21"/>
      <w:bookmarkEnd w:id="22"/>
      <w:r>
        <w:rPr>
          <w:rFonts w:ascii="Arial" w:hAnsi="Arial" w:cs="Arial"/>
          <w:sz w:val="20"/>
          <w:szCs w:val="20"/>
        </w:rPr>
        <w:t>10. przepisy związane</w:t>
      </w:r>
    </w:p>
    <w:tbl>
      <w:tblPr>
        <w:tblW w:w="7510" w:type="dxa"/>
        <w:tblCellMar>
          <w:left w:w="70" w:type="dxa"/>
          <w:right w:w="70" w:type="dxa"/>
        </w:tblCellMar>
        <w:tblLook w:val="0000"/>
      </w:tblPr>
      <w:tblGrid>
        <w:gridCol w:w="496"/>
        <w:gridCol w:w="1842"/>
        <w:gridCol w:w="5172"/>
      </w:tblGrid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1.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PN-80/B-03322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Elektroenergetyczne linie napowietrzne. Fundamenty konstrukcji wsporczych,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2.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PN-68/B-06050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Roboty ziemne budowlane. Wymagania w zakresie wykonywania badań przy odbiorze,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3.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PN-88/B-06250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Beton zwykły,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4.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PN-86/B-06712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Kruszywa mineralne do betonu,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5.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PN-85/B-23010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Domieszki do betonu. Klasyfikacja i określenia,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6.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PN-88/B-30000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Cement portlandzki,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7.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PN-90/B-03200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Konstrukcje stalowe. Obliczenia statyczne i projektowanie,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8.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PN-88/B-32250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Materiały budowlane. Woda do betonów i zapraw,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9.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PN-80/C-89205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Rury z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nieplastyfikowanego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polichlorku winylu,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10.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PN-76/E-02032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Oświetlenie dróg publicznych,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11.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PN-55/E-05021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Urządzenia elektroenergetyczne. Wyznaczanie obciążalności przewodów i kabli,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12.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PN-75/E-05100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Elektroenergetyczne linie napowietrzne. Projektowanie i budowa,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13.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PN-76/E-05125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Elektroenergetyczne linie kablowe. Projektowanie i budowa,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14.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PN-91/E-05160/01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Rozdzielnice i sterownice niskonapięciowe. Wymagania dotyczące zestawów badanych w pełnym i niepełnym zakresie badań typu,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15.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PN-83/E-06305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Elektryczne oprawy oświetleniowe. Typowe wymagania i badania,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16.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PN-79/E-06314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Elektryczne oprawy oświetleniowe zewnętrzne,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17.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PN-93/E-90401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Kable elektroenergetyczne i sygnalizacyjne o izolacji i powłoce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polwinitowej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na napięcie znamionowe nie przekraczające 6,6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kV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. Kable elektroenergetyczne na napięcie znamionowe 0,6/1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kV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18.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PN-91/M-34501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Gazociągi i instalacje gazownicze. Skrzyżowania gazociągów z przeszkodami terenowymi. Wymagania,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19.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PN-86/O-79100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Opakowania transportowe. Odporność na narażanie </w:t>
            </w:r>
            <w:r>
              <w:rPr>
                <w:rFonts w:ascii="Arial" w:hAnsi="Arial" w:cs="Arial"/>
                <w:sz w:val="20"/>
                <w:szCs w:val="20"/>
              </w:rPr>
              <w:lastRenderedPageBreak/>
              <w:t>mechaniczne. Wymagania i badania,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 xml:space="preserve"> 20.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BN-80/6112-28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Kit miniowy,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21.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BN-68/6353-03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Folia kalandrowana techniczna z uplastycznionego polichlorku winylu suspensyjnego,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22.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BN-88/6731-08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Cement. Transport i przechowywanie,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23.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BN-66/6774-01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Kruszywa naturalne do nawierzchni drogowych. Żwir i pospółka,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24.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BN-87/6774-04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Kruszywa mineralne do nawierzchni drogowych. Piasek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25.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BN-83/8836-02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Przewody podziemne. Roboty ziemne. Wymagania i badania przy odbiorze,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26.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BN-77/8931-12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Oznaczenie wskaźnika zagęszczenia gruntu,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27.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BN-72/8932-01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Budowle drogowe i kolejowe. Roboty ziemne,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28. 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BN-89/8984-17/03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Telekomunikacyjne sieci miejscowe. Linie kablowe. Ogólne wymagania i badania,</w:t>
            </w:r>
          </w:p>
        </w:tc>
      </w:tr>
      <w:tr w:rsidR="007904E3">
        <w:tc>
          <w:tcPr>
            <w:tcW w:w="496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29. </w:t>
            </w:r>
          </w:p>
        </w:tc>
        <w:tc>
          <w:tcPr>
            <w:tcW w:w="184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BN-79/9068-01</w:t>
            </w:r>
          </w:p>
        </w:tc>
        <w:tc>
          <w:tcPr>
            <w:tcW w:w="5172" w:type="dxa"/>
            <w:shd w:val="clear" w:color="auto" w:fill="auto"/>
          </w:tcPr>
          <w:p w:rsidR="007904E3" w:rsidRDefault="00380A7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Prefabrykaty budowlane z betonu. Elementy konstrukcji wsporczych oświetleniowych i energetycznych linii napowietrznych,</w:t>
            </w:r>
          </w:p>
        </w:tc>
      </w:tr>
    </w:tbl>
    <w:p w:rsidR="007904E3" w:rsidRDefault="007904E3">
      <w:pPr>
        <w:rPr>
          <w:rFonts w:ascii="Arial" w:hAnsi="Arial" w:cs="Arial"/>
          <w:sz w:val="20"/>
          <w:szCs w:val="20"/>
        </w:rPr>
      </w:pPr>
    </w:p>
    <w:p w:rsidR="007904E3" w:rsidRDefault="00380A79">
      <w:r>
        <w:rPr>
          <w:rFonts w:ascii="Arial" w:hAnsi="Arial" w:cs="Arial"/>
          <w:sz w:val="20"/>
          <w:szCs w:val="20"/>
        </w:rPr>
        <w:t>lub równoważne.</w:t>
      </w:r>
      <w:r>
        <w:rPr>
          <w:rFonts w:ascii="Arial" w:hAnsi="Arial" w:cs="Arial"/>
          <w:sz w:val="20"/>
          <w:szCs w:val="20"/>
        </w:rPr>
        <w:tab/>
      </w:r>
    </w:p>
    <w:sectPr w:rsidR="007904E3" w:rsidSect="000407EB">
      <w:footerReference w:type="default" r:id="rId7"/>
      <w:pgSz w:w="11906" w:h="16838"/>
      <w:pgMar w:top="531" w:right="1274" w:bottom="851" w:left="1276" w:header="0" w:footer="220" w:gutter="0"/>
      <w:pgNumType w:start="1"/>
      <w:cols w:space="708"/>
      <w:formProt w:val="0"/>
      <w:docGrid w:linePitch="240" w:charSpace="-6145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F6A2E" w:rsidRDefault="006F6A2E" w:rsidP="000407EB">
      <w:r>
        <w:separator/>
      </w:r>
    </w:p>
  </w:endnote>
  <w:endnote w:type="continuationSeparator" w:id="0">
    <w:p w:rsidR="006F6A2E" w:rsidRDefault="006F6A2E" w:rsidP="000407E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  <w:embedRegular r:id="rId1" w:fontKey="{221DC09B-A0C9-46A2-A5AC-4CB3095D1B01}"/>
    <w:embedBold r:id="rId2" w:fontKey="{B09E6849-104F-4A07-938C-46062377612D}"/>
    <w:embedItalic r:id="rId3" w:fontKey="{A69C067D-DB17-4AF9-B731-8BA055691E65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  <w:embedRegular r:id="rId4" w:fontKey="{22BCFD1F-4542-4F77-B455-A90D5E468FF3}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5" w:fontKey="{4A01105D-8CEB-4AB5-9221-70EB879542C8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6" w:fontKey="{8D3790D7-4BDD-4424-B48A-2CA463C07893}"/>
  </w:font>
  <w:font w:name="MS Mincho;ＭＳ 明朝">
    <w:panose1 w:val="00000000000000000000"/>
    <w:charset w:val="80"/>
    <w:family w:val="roman"/>
    <w:notTrueType/>
    <w:pitch w:val="default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41767C35-7B2C-4440-9684-2B68C4389E8A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8" w:fontKey="{AF6B5CB9-3124-4E04-8310-E18DE2BF0BE9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76499256"/>
      <w:docPartObj>
        <w:docPartGallery w:val="Page Numbers (Bottom of Page)"/>
        <w:docPartUnique/>
      </w:docPartObj>
    </w:sdtPr>
    <w:sdtContent>
      <w:p w:rsidR="002B0D2F" w:rsidRDefault="002B0D2F">
        <w:pPr>
          <w:pStyle w:val="Stopka"/>
          <w:jc w:val="center"/>
        </w:pPr>
        <w:r w:rsidRPr="000407EB">
          <w:rPr>
            <w:rFonts w:ascii="Arial" w:hAnsi="Arial" w:cs="Arial"/>
            <w:sz w:val="16"/>
            <w:szCs w:val="16"/>
          </w:rPr>
          <w:t xml:space="preserve">Strona </w:t>
        </w:r>
        <w:r w:rsidR="00F725FF" w:rsidRPr="000407EB">
          <w:rPr>
            <w:rFonts w:ascii="Arial" w:hAnsi="Arial" w:cs="Arial"/>
            <w:sz w:val="16"/>
            <w:szCs w:val="16"/>
          </w:rPr>
          <w:fldChar w:fldCharType="begin"/>
        </w:r>
        <w:r w:rsidRPr="000407EB">
          <w:rPr>
            <w:rFonts w:ascii="Arial" w:hAnsi="Arial" w:cs="Arial"/>
            <w:sz w:val="16"/>
            <w:szCs w:val="16"/>
          </w:rPr>
          <w:instrText xml:space="preserve"> PAGE   \* MERGEFORMAT </w:instrText>
        </w:r>
        <w:r w:rsidR="00F725FF" w:rsidRPr="000407EB">
          <w:rPr>
            <w:rFonts w:ascii="Arial" w:hAnsi="Arial" w:cs="Arial"/>
            <w:sz w:val="16"/>
            <w:szCs w:val="16"/>
          </w:rPr>
          <w:fldChar w:fldCharType="separate"/>
        </w:r>
        <w:r w:rsidR="0028262B">
          <w:rPr>
            <w:rFonts w:ascii="Arial" w:hAnsi="Arial" w:cs="Arial"/>
            <w:noProof/>
            <w:sz w:val="16"/>
            <w:szCs w:val="16"/>
          </w:rPr>
          <w:t>8</w:t>
        </w:r>
        <w:r w:rsidR="00F725FF" w:rsidRPr="000407EB">
          <w:rPr>
            <w:rFonts w:ascii="Arial" w:hAnsi="Arial" w:cs="Arial"/>
            <w:sz w:val="16"/>
            <w:szCs w:val="16"/>
          </w:rPr>
          <w:fldChar w:fldCharType="end"/>
        </w:r>
        <w:r w:rsidRPr="000407EB">
          <w:rPr>
            <w:rFonts w:ascii="Arial" w:hAnsi="Arial" w:cs="Arial"/>
            <w:sz w:val="16"/>
            <w:szCs w:val="16"/>
          </w:rPr>
          <w:t xml:space="preserve"> z </w:t>
        </w:r>
        <w:r>
          <w:rPr>
            <w:rFonts w:ascii="Arial" w:hAnsi="Arial" w:cs="Arial"/>
            <w:sz w:val="16"/>
            <w:szCs w:val="16"/>
          </w:rPr>
          <w:t>8</w:t>
        </w:r>
      </w:p>
    </w:sdtContent>
  </w:sdt>
  <w:p w:rsidR="002B0D2F" w:rsidRDefault="002B0D2F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F6A2E" w:rsidRDefault="006F6A2E" w:rsidP="000407EB">
      <w:r>
        <w:separator/>
      </w:r>
    </w:p>
  </w:footnote>
  <w:footnote w:type="continuationSeparator" w:id="0">
    <w:p w:rsidR="006F6A2E" w:rsidRDefault="006F6A2E" w:rsidP="000407E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2A17AE"/>
    <w:multiLevelType w:val="multilevel"/>
    <w:tmpl w:val="57582712"/>
    <w:lvl w:ilvl="0">
      <w:start w:val="1"/>
      <w:numFmt w:val="decimal"/>
      <w:lvlText w:val="2.2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965085A"/>
    <w:multiLevelType w:val="multilevel"/>
    <w:tmpl w:val="0EF4EED2"/>
    <w:lvl w:ilvl="0">
      <w:start w:val="9"/>
      <w:numFmt w:val="decimal"/>
      <w:lvlText w:val="2.4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B056217"/>
    <w:multiLevelType w:val="multilevel"/>
    <w:tmpl w:val="C7C6B436"/>
    <w:lvl w:ilvl="0">
      <w:start w:val="1"/>
      <w:numFmt w:val="decimal"/>
      <w:lvlText w:val="1.4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15867124"/>
    <w:multiLevelType w:val="multilevel"/>
    <w:tmpl w:val="9C7E0516"/>
    <w:lvl w:ilvl="0">
      <w:start w:val="2"/>
      <w:numFmt w:val="decimal"/>
      <w:lvlText w:val="2.2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209A5BA9"/>
    <w:multiLevelType w:val="multilevel"/>
    <w:tmpl w:val="5FE2C08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5">
    <w:nsid w:val="30696A86"/>
    <w:multiLevelType w:val="multilevel"/>
    <w:tmpl w:val="DC401FAE"/>
    <w:lvl w:ilvl="0">
      <w:start w:val="1"/>
      <w:numFmt w:val="decimal"/>
      <w:lvlText w:val="2.3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360F0D6A"/>
    <w:multiLevelType w:val="multilevel"/>
    <w:tmpl w:val="7870DA3C"/>
    <w:lvl w:ilvl="0">
      <w:start w:val="1"/>
      <w:numFmt w:val="bullet"/>
      <w:lvlText w:val=""/>
      <w:lvlJc w:val="left"/>
      <w:pPr>
        <w:ind w:left="283" w:hanging="283"/>
      </w:pPr>
      <w:rPr>
        <w:rFonts w:ascii="Symbol" w:hAnsi="Symbol" w:cs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45534B55"/>
    <w:multiLevelType w:val="multilevel"/>
    <w:tmpl w:val="5C82517E"/>
    <w:lvl w:ilvl="0">
      <w:start w:val="5"/>
      <w:numFmt w:val="decimal"/>
      <w:lvlText w:val="2.4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nsid w:val="497B4429"/>
    <w:multiLevelType w:val="multilevel"/>
    <w:tmpl w:val="3A44C3D6"/>
    <w:lvl w:ilvl="0">
      <w:start w:val="2"/>
      <w:numFmt w:val="decimal"/>
      <w:lvlText w:val="2.4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4DB97F8E"/>
    <w:multiLevelType w:val="multilevel"/>
    <w:tmpl w:val="5F6E55F8"/>
    <w:lvl w:ilvl="0">
      <w:start w:val="2"/>
      <w:numFmt w:val="decimal"/>
      <w:lvlText w:val="2.3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nsid w:val="4EAD0053"/>
    <w:multiLevelType w:val="multilevel"/>
    <w:tmpl w:val="1DF215EE"/>
    <w:lvl w:ilvl="0">
      <w:start w:val="1"/>
      <w:numFmt w:val="decimal"/>
      <w:lvlText w:val="2.4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1">
    <w:nsid w:val="4F0B2101"/>
    <w:multiLevelType w:val="multilevel"/>
    <w:tmpl w:val="ADA058A0"/>
    <w:lvl w:ilvl="0">
      <w:start w:val="10"/>
      <w:numFmt w:val="decimal"/>
      <w:lvlText w:val="2.4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2">
    <w:nsid w:val="51A32D33"/>
    <w:multiLevelType w:val="multilevel"/>
    <w:tmpl w:val="742A0B46"/>
    <w:lvl w:ilvl="0">
      <w:start w:val="6"/>
      <w:numFmt w:val="decimal"/>
      <w:lvlText w:val="2.4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>
    <w:nsid w:val="61A00D3F"/>
    <w:multiLevelType w:val="multilevel"/>
    <w:tmpl w:val="DD6E7658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4">
    <w:nsid w:val="63062595"/>
    <w:multiLevelType w:val="multilevel"/>
    <w:tmpl w:val="F0269CC8"/>
    <w:lvl w:ilvl="0">
      <w:start w:val="11"/>
      <w:numFmt w:val="decimal"/>
      <w:lvlText w:val="2.4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>
    <w:nsid w:val="68B47BF8"/>
    <w:multiLevelType w:val="multilevel"/>
    <w:tmpl w:val="4AA6466C"/>
    <w:lvl w:ilvl="0">
      <w:start w:val="8"/>
      <w:numFmt w:val="decimal"/>
      <w:lvlText w:val="2.4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>
    <w:nsid w:val="6A197EC4"/>
    <w:multiLevelType w:val="multilevel"/>
    <w:tmpl w:val="D9423882"/>
    <w:lvl w:ilvl="0">
      <w:start w:val="2"/>
      <w:numFmt w:val="decimal"/>
      <w:lvlText w:val="%1."/>
      <w:lvlJc w:val="left"/>
      <w:pPr>
        <w:ind w:left="504" w:hanging="504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45" w:hanging="504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00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14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8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8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2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28" w:hanging="1800"/>
      </w:pPr>
      <w:rPr>
        <w:rFonts w:hint="default"/>
      </w:rPr>
    </w:lvl>
  </w:abstractNum>
  <w:abstractNum w:abstractNumId="17">
    <w:nsid w:val="6F9907FD"/>
    <w:multiLevelType w:val="multilevel"/>
    <w:tmpl w:val="C09A8966"/>
    <w:lvl w:ilvl="0">
      <w:start w:val="2"/>
      <w:numFmt w:val="decimal"/>
      <w:lvlText w:val="%1."/>
      <w:lvlJc w:val="left"/>
      <w:pPr>
        <w:ind w:left="504" w:hanging="504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45" w:hanging="504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0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14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8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8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2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28" w:hanging="1800"/>
      </w:pPr>
      <w:rPr>
        <w:rFonts w:hint="default"/>
      </w:rPr>
    </w:lvl>
  </w:abstractNum>
  <w:abstractNum w:abstractNumId="18">
    <w:nsid w:val="793B105D"/>
    <w:multiLevelType w:val="multilevel"/>
    <w:tmpl w:val="087256D0"/>
    <w:lvl w:ilvl="0">
      <w:start w:val="7"/>
      <w:numFmt w:val="decimal"/>
      <w:lvlText w:val="2.4.%1. "/>
      <w:lvlJc w:val="left"/>
      <w:pPr>
        <w:ind w:left="283" w:hanging="283"/>
      </w:pPr>
      <w:rPr>
        <w:rFonts w:ascii="Arial" w:hAnsi="Arial" w:cs="Times New Roman"/>
        <w:b/>
        <w:i w:val="0"/>
        <w:sz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5"/>
  </w:num>
  <w:num w:numId="5">
    <w:abstractNumId w:val="9"/>
  </w:num>
  <w:num w:numId="6">
    <w:abstractNumId w:val="10"/>
  </w:num>
  <w:num w:numId="7">
    <w:abstractNumId w:val="8"/>
  </w:num>
  <w:num w:numId="8">
    <w:abstractNumId w:val="7"/>
  </w:num>
  <w:num w:numId="9">
    <w:abstractNumId w:val="12"/>
  </w:num>
  <w:num w:numId="10">
    <w:abstractNumId w:val="18"/>
  </w:num>
  <w:num w:numId="11">
    <w:abstractNumId w:val="15"/>
  </w:num>
  <w:num w:numId="12">
    <w:abstractNumId w:val="1"/>
  </w:num>
  <w:num w:numId="13">
    <w:abstractNumId w:val="11"/>
  </w:num>
  <w:num w:numId="14">
    <w:abstractNumId w:val="6"/>
  </w:num>
  <w:num w:numId="15">
    <w:abstractNumId w:val="14"/>
  </w:num>
  <w:num w:numId="16">
    <w:abstractNumId w:val="4"/>
  </w:num>
  <w:num w:numId="17">
    <w:abstractNumId w:val="13"/>
  </w:num>
  <w:num w:numId="18">
    <w:abstractNumId w:val="17"/>
  </w:num>
  <w:num w:numId="19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embedTrueTypeFonts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7904E3"/>
    <w:rsid w:val="000407EB"/>
    <w:rsid w:val="00157A8E"/>
    <w:rsid w:val="00205E13"/>
    <w:rsid w:val="00240BB7"/>
    <w:rsid w:val="0028262B"/>
    <w:rsid w:val="002B0D2F"/>
    <w:rsid w:val="00380A79"/>
    <w:rsid w:val="00686AF6"/>
    <w:rsid w:val="006B2477"/>
    <w:rsid w:val="006F6A2E"/>
    <w:rsid w:val="007904E3"/>
    <w:rsid w:val="00AB567E"/>
    <w:rsid w:val="00C21B68"/>
    <w:rsid w:val="00D170DE"/>
    <w:rsid w:val="00F725FF"/>
    <w:rsid w:val="00F81A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Liberation Serif" w:eastAsia="SimSun" w:hAnsi="Liberation Serif" w:cs="Arial Unicode MS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E338B"/>
    <w:pPr>
      <w:jc w:val="both"/>
      <w:textAlignment w:val="baseline"/>
    </w:pPr>
    <w:rPr>
      <w:color w:val="00000A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Heading1">
    <w:name w:val="Heading 1"/>
    <w:basedOn w:val="Normalny"/>
    <w:qFormat/>
    <w:rsid w:val="005E338B"/>
    <w:pPr>
      <w:keepNext/>
      <w:keepLines/>
      <w:suppressAutoHyphens/>
      <w:spacing w:before="240" w:after="120"/>
      <w:outlineLvl w:val="0"/>
    </w:pPr>
    <w:rPr>
      <w:b/>
      <w:caps/>
    </w:rPr>
  </w:style>
  <w:style w:type="paragraph" w:customStyle="1" w:styleId="Heading2">
    <w:name w:val="Heading 2"/>
    <w:basedOn w:val="Normalny"/>
    <w:qFormat/>
    <w:rsid w:val="005E338B"/>
    <w:pPr>
      <w:keepNext/>
      <w:spacing w:before="120" w:after="120"/>
      <w:outlineLvl w:val="1"/>
    </w:pPr>
    <w:rPr>
      <w:b/>
    </w:rPr>
  </w:style>
  <w:style w:type="paragraph" w:customStyle="1" w:styleId="Heading3">
    <w:name w:val="Heading 3"/>
    <w:basedOn w:val="Normalny"/>
    <w:qFormat/>
    <w:rsid w:val="005E338B"/>
    <w:pPr>
      <w:keepNext/>
      <w:spacing w:before="60" w:after="60"/>
      <w:outlineLvl w:val="2"/>
    </w:pPr>
  </w:style>
  <w:style w:type="paragraph" w:customStyle="1" w:styleId="Heading4">
    <w:name w:val="Heading 4"/>
    <w:basedOn w:val="Normalny"/>
    <w:qFormat/>
    <w:rsid w:val="005E2D0D"/>
    <w:pPr>
      <w:keepNext/>
      <w:ind w:right="708"/>
      <w:jc w:val="center"/>
      <w:outlineLvl w:val="3"/>
    </w:pPr>
    <w:rPr>
      <w:b/>
      <w:bCs/>
      <w:sz w:val="18"/>
    </w:rPr>
  </w:style>
  <w:style w:type="character" w:styleId="Numerstrony">
    <w:name w:val="page number"/>
    <w:basedOn w:val="Domylnaczcionkaakapitu"/>
    <w:semiHidden/>
    <w:qFormat/>
    <w:rsid w:val="005E338B"/>
  </w:style>
  <w:style w:type="character" w:styleId="Odwoanieprzypisudolnego">
    <w:name w:val="footnote reference"/>
    <w:basedOn w:val="Domylnaczcionkaakapitu"/>
    <w:semiHidden/>
    <w:qFormat/>
    <w:rsid w:val="005E338B"/>
    <w:rPr>
      <w:vertAlign w:val="superscript"/>
    </w:rPr>
  </w:style>
  <w:style w:type="character" w:customStyle="1" w:styleId="ZwykytekstZnak">
    <w:name w:val="Zwykły tekst Znak"/>
    <w:basedOn w:val="Domylnaczcionkaakapitu"/>
    <w:link w:val="Zwykytekst"/>
    <w:qFormat/>
    <w:rsid w:val="00F65FC2"/>
    <w:rPr>
      <w:rFonts w:ascii="Courier New" w:hAnsi="Courier New" w:cs="Courier New"/>
    </w:rPr>
  </w:style>
  <w:style w:type="character" w:customStyle="1" w:styleId="ListLabel1">
    <w:name w:val="ListLabel 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2">
    <w:name w:val="ListLabel 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3">
    <w:name w:val="ListLabel 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4">
    <w:name w:val="ListLabel 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5">
    <w:name w:val="ListLabel 5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6">
    <w:name w:val="ListLabel 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7">
    <w:name w:val="ListLabel 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8">
    <w:name w:val="ListLabel 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9">
    <w:name w:val="ListLabel 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0">
    <w:name w:val="ListLabel 1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1">
    <w:name w:val="ListLabel 1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2">
    <w:name w:val="ListLabel 1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3">
    <w:name w:val="ListLabel 1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4">
    <w:name w:val="ListLabel 1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5">
    <w:name w:val="ListLabel 15"/>
    <w:qFormat/>
    <w:rsid w:val="005E2D0D"/>
    <w:rPr>
      <w:rFonts w:cs="Times New Roman"/>
      <w:b/>
      <w:i w:val="0"/>
      <w:sz w:val="20"/>
      <w:u w:val="none"/>
    </w:rPr>
  </w:style>
  <w:style w:type="character" w:customStyle="1" w:styleId="Nagwek1Znak">
    <w:name w:val="Nagłówek 1 Znak"/>
    <w:qFormat/>
    <w:rsid w:val="005E2D0D"/>
    <w:rPr>
      <w:b/>
      <w:caps/>
    </w:rPr>
  </w:style>
  <w:style w:type="character" w:customStyle="1" w:styleId="Nagwek2Znak">
    <w:name w:val="Nagłówek 2 Znak"/>
    <w:qFormat/>
    <w:rsid w:val="005E2D0D"/>
    <w:rPr>
      <w:b/>
    </w:rPr>
  </w:style>
  <w:style w:type="character" w:customStyle="1" w:styleId="Znakiprzypiswdolnych">
    <w:name w:val="Znaki przypisów dolnych"/>
    <w:qFormat/>
    <w:rsid w:val="005E2D0D"/>
    <w:rPr>
      <w:vertAlign w:val="superscript"/>
    </w:rPr>
  </w:style>
  <w:style w:type="character" w:customStyle="1" w:styleId="Numerstron">
    <w:name w:val="Numer stron"/>
    <w:rsid w:val="005E2D0D"/>
  </w:style>
  <w:style w:type="character" w:customStyle="1" w:styleId="WW8NumSt2z0">
    <w:name w:val="WW8NumSt2z0"/>
    <w:qFormat/>
    <w:rsid w:val="005E2D0D"/>
    <w:rPr>
      <w:rFonts w:ascii="Symbol" w:eastAsia="Symbol" w:hAnsi="Symbol" w:cs="Symbol"/>
    </w:rPr>
  </w:style>
  <w:style w:type="character" w:customStyle="1" w:styleId="WW8Num6z0">
    <w:name w:val="WW8Num6z0"/>
    <w:qFormat/>
    <w:rsid w:val="005E2D0D"/>
  </w:style>
  <w:style w:type="character" w:customStyle="1" w:styleId="WW8Num5z0">
    <w:name w:val="WW8Num5z0"/>
    <w:qFormat/>
    <w:rsid w:val="005E2D0D"/>
  </w:style>
  <w:style w:type="character" w:customStyle="1" w:styleId="WW8Num4z0">
    <w:name w:val="WW8Num4z0"/>
    <w:qFormat/>
    <w:rsid w:val="005E2D0D"/>
  </w:style>
  <w:style w:type="character" w:customStyle="1" w:styleId="WW8Num3z0">
    <w:name w:val="WW8Num3z0"/>
    <w:qFormat/>
    <w:rsid w:val="005E2D0D"/>
  </w:style>
  <w:style w:type="character" w:customStyle="1" w:styleId="WW8Num2z0">
    <w:name w:val="WW8Num2z0"/>
    <w:qFormat/>
    <w:rsid w:val="005E2D0D"/>
  </w:style>
  <w:style w:type="character" w:customStyle="1" w:styleId="WW8Num1z0">
    <w:name w:val="WW8Num1z0"/>
    <w:qFormat/>
    <w:rsid w:val="005E2D0D"/>
  </w:style>
  <w:style w:type="character" w:customStyle="1" w:styleId="ListLabel16">
    <w:name w:val="ListLabel 1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7">
    <w:name w:val="ListLabel 1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8">
    <w:name w:val="ListLabel 1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9">
    <w:name w:val="ListLabel 1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20">
    <w:name w:val="ListLabel 2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21">
    <w:name w:val="ListLabel 2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22">
    <w:name w:val="ListLabel 2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23">
    <w:name w:val="ListLabel 2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24">
    <w:name w:val="ListLabel 2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25">
    <w:name w:val="ListLabel 25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26">
    <w:name w:val="ListLabel 2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27">
    <w:name w:val="ListLabel 2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28">
    <w:name w:val="ListLabel 2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29">
    <w:name w:val="ListLabel 29"/>
    <w:qFormat/>
    <w:rsid w:val="005E2D0D"/>
    <w:rPr>
      <w:rFonts w:cs="Symbol"/>
    </w:rPr>
  </w:style>
  <w:style w:type="character" w:customStyle="1" w:styleId="ListLabel30">
    <w:name w:val="ListLabel 3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31">
    <w:name w:val="ListLabel 31"/>
    <w:qFormat/>
    <w:rsid w:val="005E2D0D"/>
    <w:rPr>
      <w:rFonts w:cs="Times New Roman"/>
      <w:b/>
      <w:i w:val="0"/>
      <w:sz w:val="20"/>
      <w:u w:val="none"/>
    </w:rPr>
  </w:style>
  <w:style w:type="character" w:customStyle="1" w:styleId="czeinternetowe">
    <w:name w:val="Łącze internetowe"/>
    <w:basedOn w:val="Domylnaczcionkaakapitu"/>
    <w:rsid w:val="005E2D0D"/>
    <w:rPr>
      <w:color w:val="0000FF"/>
      <w:u w:val="single"/>
    </w:rPr>
  </w:style>
  <w:style w:type="character" w:customStyle="1" w:styleId="WW8Num17z0">
    <w:name w:val="WW8Num17z0"/>
    <w:qFormat/>
    <w:rsid w:val="005E2D0D"/>
    <w:rPr>
      <w:rFonts w:ascii="Symbol" w:hAnsi="Symbol" w:cs="Symbol"/>
    </w:rPr>
  </w:style>
  <w:style w:type="character" w:customStyle="1" w:styleId="WW8Num16z0">
    <w:name w:val="WW8Num16z0"/>
    <w:qFormat/>
    <w:rsid w:val="005E2D0D"/>
  </w:style>
  <w:style w:type="character" w:customStyle="1" w:styleId="WW8Num15z0">
    <w:name w:val="WW8Num15z0"/>
    <w:qFormat/>
    <w:rsid w:val="005E2D0D"/>
  </w:style>
  <w:style w:type="character" w:customStyle="1" w:styleId="WW8Num14z0">
    <w:name w:val="WW8Num14z0"/>
    <w:qFormat/>
    <w:rsid w:val="005E2D0D"/>
  </w:style>
  <w:style w:type="character" w:customStyle="1" w:styleId="WW8Num13z0">
    <w:name w:val="WW8Num13z0"/>
    <w:qFormat/>
    <w:rsid w:val="005E2D0D"/>
  </w:style>
  <w:style w:type="character" w:customStyle="1" w:styleId="WW8Num12z0">
    <w:name w:val="WW8Num12z0"/>
    <w:qFormat/>
    <w:rsid w:val="005E2D0D"/>
  </w:style>
  <w:style w:type="character" w:customStyle="1" w:styleId="WW8Num11z0">
    <w:name w:val="WW8Num11z0"/>
    <w:qFormat/>
    <w:rsid w:val="005E2D0D"/>
  </w:style>
  <w:style w:type="character" w:customStyle="1" w:styleId="WW8Num10z0">
    <w:name w:val="WW8Num10z0"/>
    <w:qFormat/>
    <w:rsid w:val="005E2D0D"/>
  </w:style>
  <w:style w:type="character" w:customStyle="1" w:styleId="WW8Num9z0">
    <w:name w:val="WW8Num9z0"/>
    <w:qFormat/>
    <w:rsid w:val="005E2D0D"/>
  </w:style>
  <w:style w:type="character" w:customStyle="1" w:styleId="WW8Num8z0">
    <w:name w:val="WW8Num8z0"/>
    <w:qFormat/>
    <w:rsid w:val="005E2D0D"/>
  </w:style>
  <w:style w:type="character" w:customStyle="1" w:styleId="WW8Num7z0">
    <w:name w:val="WW8Num7z0"/>
    <w:qFormat/>
    <w:rsid w:val="005E2D0D"/>
  </w:style>
  <w:style w:type="character" w:customStyle="1" w:styleId="WW8Num1z8">
    <w:name w:val="WW8Num1z8"/>
    <w:qFormat/>
    <w:rsid w:val="005E2D0D"/>
  </w:style>
  <w:style w:type="character" w:customStyle="1" w:styleId="WW8Num1z7">
    <w:name w:val="WW8Num1z7"/>
    <w:qFormat/>
    <w:rsid w:val="005E2D0D"/>
  </w:style>
  <w:style w:type="character" w:customStyle="1" w:styleId="WW8Num1z6">
    <w:name w:val="WW8Num1z6"/>
    <w:qFormat/>
    <w:rsid w:val="005E2D0D"/>
  </w:style>
  <w:style w:type="character" w:customStyle="1" w:styleId="WW8Num1z5">
    <w:name w:val="WW8Num1z5"/>
    <w:qFormat/>
    <w:rsid w:val="005E2D0D"/>
  </w:style>
  <w:style w:type="character" w:customStyle="1" w:styleId="WW8Num1z4">
    <w:name w:val="WW8Num1z4"/>
    <w:qFormat/>
    <w:rsid w:val="005E2D0D"/>
  </w:style>
  <w:style w:type="character" w:customStyle="1" w:styleId="WW8Num1z3">
    <w:name w:val="WW8Num1z3"/>
    <w:qFormat/>
    <w:rsid w:val="005E2D0D"/>
  </w:style>
  <w:style w:type="character" w:customStyle="1" w:styleId="WW8Num1z2">
    <w:name w:val="WW8Num1z2"/>
    <w:qFormat/>
    <w:rsid w:val="005E2D0D"/>
  </w:style>
  <w:style w:type="character" w:customStyle="1" w:styleId="WW8Num1z1">
    <w:name w:val="WW8Num1z1"/>
    <w:qFormat/>
    <w:rsid w:val="005E2D0D"/>
  </w:style>
  <w:style w:type="character" w:customStyle="1" w:styleId="ListLabel32">
    <w:name w:val="ListLabel 3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33">
    <w:name w:val="ListLabel 3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34">
    <w:name w:val="ListLabel 3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35">
    <w:name w:val="ListLabel 35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36">
    <w:name w:val="ListLabel 3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37">
    <w:name w:val="ListLabel 3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38">
    <w:name w:val="ListLabel 3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39">
    <w:name w:val="ListLabel 3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40">
    <w:name w:val="ListLabel 4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41">
    <w:name w:val="ListLabel 4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42">
    <w:name w:val="ListLabel 4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43">
    <w:name w:val="ListLabel 4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44">
    <w:name w:val="ListLabel 4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45">
    <w:name w:val="ListLabel 45"/>
    <w:qFormat/>
    <w:rsid w:val="005E2D0D"/>
    <w:rPr>
      <w:rFonts w:cs="Symbol"/>
    </w:rPr>
  </w:style>
  <w:style w:type="character" w:customStyle="1" w:styleId="ListLabel46">
    <w:name w:val="ListLabel 4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47">
    <w:name w:val="ListLabel 4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48">
    <w:name w:val="ListLabel 4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49">
    <w:name w:val="ListLabel 4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50">
    <w:name w:val="ListLabel 5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51">
    <w:name w:val="ListLabel 5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52">
    <w:name w:val="ListLabel 5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53">
    <w:name w:val="ListLabel 5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54">
    <w:name w:val="ListLabel 5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55">
    <w:name w:val="ListLabel 55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56">
    <w:name w:val="ListLabel 5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57">
    <w:name w:val="ListLabel 5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58">
    <w:name w:val="ListLabel 5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59">
    <w:name w:val="ListLabel 5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60">
    <w:name w:val="ListLabel 6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61">
    <w:name w:val="ListLabel 61"/>
    <w:qFormat/>
    <w:rsid w:val="005E2D0D"/>
    <w:rPr>
      <w:rFonts w:cs="Symbol"/>
    </w:rPr>
  </w:style>
  <w:style w:type="character" w:customStyle="1" w:styleId="ListLabel62">
    <w:name w:val="ListLabel 6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63">
    <w:name w:val="ListLabel 6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64">
    <w:name w:val="ListLabel 6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65">
    <w:name w:val="ListLabel 65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66">
    <w:name w:val="ListLabel 6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67">
    <w:name w:val="ListLabel 6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68">
    <w:name w:val="ListLabel 6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69">
    <w:name w:val="ListLabel 6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70">
    <w:name w:val="ListLabel 7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71">
    <w:name w:val="ListLabel 7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72">
    <w:name w:val="ListLabel 7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73">
    <w:name w:val="ListLabel 7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74">
    <w:name w:val="ListLabel 7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75">
    <w:name w:val="ListLabel 75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76">
    <w:name w:val="ListLabel 7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77">
    <w:name w:val="ListLabel 77"/>
    <w:qFormat/>
    <w:rsid w:val="005E2D0D"/>
    <w:rPr>
      <w:rFonts w:cs="Symbol"/>
    </w:rPr>
  </w:style>
  <w:style w:type="character" w:customStyle="1" w:styleId="ListLabel78">
    <w:name w:val="ListLabel 7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79">
    <w:name w:val="ListLabel 7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80">
    <w:name w:val="ListLabel 8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81">
    <w:name w:val="ListLabel 8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82">
    <w:name w:val="ListLabel 8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83">
    <w:name w:val="ListLabel 8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84">
    <w:name w:val="ListLabel 8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85">
    <w:name w:val="ListLabel 85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86">
    <w:name w:val="ListLabel 8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87">
    <w:name w:val="ListLabel 8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88">
    <w:name w:val="ListLabel 8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89">
    <w:name w:val="ListLabel 8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90">
    <w:name w:val="ListLabel 9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91">
    <w:name w:val="ListLabel 9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92">
    <w:name w:val="ListLabel 9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93">
    <w:name w:val="ListLabel 93"/>
    <w:qFormat/>
    <w:rsid w:val="005E2D0D"/>
    <w:rPr>
      <w:rFonts w:cs="Symbol"/>
    </w:rPr>
  </w:style>
  <w:style w:type="character" w:customStyle="1" w:styleId="ListLabel94">
    <w:name w:val="ListLabel 9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95">
    <w:name w:val="ListLabel 95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96">
    <w:name w:val="ListLabel 9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97">
    <w:name w:val="ListLabel 9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98">
    <w:name w:val="ListLabel 9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99">
    <w:name w:val="ListLabel 9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00">
    <w:name w:val="ListLabel 10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01">
    <w:name w:val="ListLabel 10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02">
    <w:name w:val="ListLabel 10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03">
    <w:name w:val="ListLabel 10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04">
    <w:name w:val="ListLabel 10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05">
    <w:name w:val="ListLabel 105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06">
    <w:name w:val="ListLabel 10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07">
    <w:name w:val="ListLabel 10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08">
    <w:name w:val="ListLabel 10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09">
    <w:name w:val="ListLabel 109"/>
    <w:qFormat/>
    <w:rsid w:val="005E2D0D"/>
    <w:rPr>
      <w:rFonts w:cs="Symbol"/>
    </w:rPr>
  </w:style>
  <w:style w:type="character" w:customStyle="1" w:styleId="ListLabel110">
    <w:name w:val="ListLabel 11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11">
    <w:name w:val="ListLabel 11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12">
    <w:name w:val="ListLabel 11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13">
    <w:name w:val="ListLabel 11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14">
    <w:name w:val="ListLabel 11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15">
    <w:name w:val="ListLabel 115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16">
    <w:name w:val="ListLabel 11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17">
    <w:name w:val="ListLabel 11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18">
    <w:name w:val="ListLabel 11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19">
    <w:name w:val="ListLabel 11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20">
    <w:name w:val="ListLabel 12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21">
    <w:name w:val="ListLabel 12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22">
    <w:name w:val="ListLabel 12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23">
    <w:name w:val="ListLabel 12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24">
    <w:name w:val="ListLabel 12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25">
    <w:name w:val="ListLabel 125"/>
    <w:qFormat/>
    <w:rsid w:val="005E2D0D"/>
    <w:rPr>
      <w:rFonts w:cs="Symbol"/>
    </w:rPr>
  </w:style>
  <w:style w:type="character" w:customStyle="1" w:styleId="ListLabel126">
    <w:name w:val="ListLabel 12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27">
    <w:name w:val="ListLabel 12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28">
    <w:name w:val="ListLabel 12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29">
    <w:name w:val="ListLabel 12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30">
    <w:name w:val="ListLabel 13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31">
    <w:name w:val="ListLabel 131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32">
    <w:name w:val="ListLabel 13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33">
    <w:name w:val="ListLabel 133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34">
    <w:name w:val="ListLabel 134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35">
    <w:name w:val="ListLabel 135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36">
    <w:name w:val="ListLabel 136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37">
    <w:name w:val="ListLabel 137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38">
    <w:name w:val="ListLabel 138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39">
    <w:name w:val="ListLabel 139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40">
    <w:name w:val="ListLabel 140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41">
    <w:name w:val="ListLabel 141"/>
    <w:qFormat/>
    <w:rsid w:val="005E2D0D"/>
    <w:rPr>
      <w:rFonts w:cs="Symbol"/>
    </w:rPr>
  </w:style>
  <w:style w:type="character" w:customStyle="1" w:styleId="ListLabel142">
    <w:name w:val="ListLabel 142"/>
    <w:qFormat/>
    <w:rsid w:val="005E2D0D"/>
    <w:rPr>
      <w:rFonts w:cs="Times New Roman"/>
      <w:b/>
      <w:i w:val="0"/>
      <w:sz w:val="20"/>
      <w:u w:val="none"/>
    </w:rPr>
  </w:style>
  <w:style w:type="character" w:customStyle="1" w:styleId="ListLabel143">
    <w:name w:val="ListLabel 143"/>
    <w:qFormat/>
    <w:rsid w:val="005E2D0D"/>
    <w:rPr>
      <w:rFonts w:cs="Times New Roman"/>
      <w:b/>
      <w:i w:val="0"/>
      <w:sz w:val="20"/>
      <w:u w:val="none"/>
    </w:rPr>
  </w:style>
  <w:style w:type="character" w:customStyle="1" w:styleId="StopkaZnak">
    <w:name w:val="Stopka Znak"/>
    <w:basedOn w:val="Domylnaczcionkaakapitu"/>
    <w:link w:val="Footer"/>
    <w:uiPriority w:val="99"/>
    <w:qFormat/>
    <w:rsid w:val="00BD4A77"/>
    <w:rPr>
      <w:rFonts w:cs="Mangal"/>
      <w:color w:val="00000A"/>
      <w:sz w:val="24"/>
      <w:szCs w:val="21"/>
    </w:rPr>
  </w:style>
  <w:style w:type="character" w:customStyle="1" w:styleId="ListLabel144">
    <w:name w:val="ListLabel 144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45">
    <w:name w:val="ListLabel 145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46">
    <w:name w:val="ListLabel 146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47">
    <w:name w:val="ListLabel 147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48">
    <w:name w:val="ListLabel 148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49">
    <w:name w:val="ListLabel 149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50">
    <w:name w:val="ListLabel 150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51">
    <w:name w:val="ListLabel 151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52">
    <w:name w:val="ListLabel 152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53">
    <w:name w:val="ListLabel 153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54">
    <w:name w:val="ListLabel 154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55">
    <w:name w:val="ListLabel 155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56">
    <w:name w:val="ListLabel 156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57">
    <w:name w:val="ListLabel 157"/>
    <w:qFormat/>
    <w:rsid w:val="007904E3"/>
    <w:rPr>
      <w:rFonts w:ascii="Arial" w:hAnsi="Arial" w:cs="Symbol"/>
      <w:sz w:val="20"/>
    </w:rPr>
  </w:style>
  <w:style w:type="character" w:customStyle="1" w:styleId="ListLabel158">
    <w:name w:val="ListLabel 158"/>
    <w:qFormat/>
    <w:rsid w:val="007904E3"/>
    <w:rPr>
      <w:rFonts w:ascii="Arial" w:hAnsi="Arial" w:cs="Times New Roman"/>
      <w:b/>
      <w:i w:val="0"/>
      <w:sz w:val="20"/>
      <w:u w:val="none"/>
    </w:rPr>
  </w:style>
  <w:style w:type="character" w:customStyle="1" w:styleId="ListLabel159">
    <w:name w:val="ListLabel 159"/>
    <w:qFormat/>
    <w:rsid w:val="007904E3"/>
    <w:rPr>
      <w:rFonts w:cs="Times New Roman"/>
      <w:b/>
      <w:i w:val="0"/>
      <w:sz w:val="20"/>
      <w:u w:val="none"/>
    </w:rPr>
  </w:style>
  <w:style w:type="paragraph" w:styleId="Nagwek">
    <w:name w:val="header"/>
    <w:basedOn w:val="Normalny"/>
    <w:next w:val="Tekstpodstawowy"/>
    <w:qFormat/>
    <w:rsid w:val="007904E3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Tekstpodstawowy">
    <w:name w:val="Body Text"/>
    <w:basedOn w:val="Normalny"/>
    <w:rsid w:val="005E2D0D"/>
    <w:pPr>
      <w:spacing w:after="140" w:line="288" w:lineRule="auto"/>
    </w:pPr>
  </w:style>
  <w:style w:type="paragraph" w:styleId="Lista">
    <w:name w:val="List"/>
    <w:basedOn w:val="Tekstpodstawowy"/>
    <w:rsid w:val="005E2D0D"/>
  </w:style>
  <w:style w:type="paragraph" w:customStyle="1" w:styleId="Caption">
    <w:name w:val="Caption"/>
    <w:basedOn w:val="Normalny"/>
    <w:qFormat/>
    <w:rsid w:val="005E2D0D"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rsid w:val="005E2D0D"/>
    <w:pPr>
      <w:suppressLineNumbers/>
    </w:pPr>
  </w:style>
  <w:style w:type="paragraph" w:customStyle="1" w:styleId="Header">
    <w:name w:val="Header"/>
    <w:basedOn w:val="Normalny"/>
    <w:semiHidden/>
    <w:rsid w:val="005E338B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customStyle="1" w:styleId="TOC1">
    <w:name w:val="TOC 1"/>
    <w:basedOn w:val="Normalny"/>
    <w:semiHidden/>
    <w:rsid w:val="005E338B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customStyle="1" w:styleId="TOC2">
    <w:name w:val="TOC 2"/>
    <w:basedOn w:val="Normalny"/>
    <w:semiHidden/>
    <w:rsid w:val="005E338B"/>
    <w:pPr>
      <w:tabs>
        <w:tab w:val="right" w:leader="dot" w:pos="7371"/>
      </w:tabs>
      <w:ind w:left="200"/>
      <w:jc w:val="left"/>
    </w:pPr>
  </w:style>
  <w:style w:type="paragraph" w:customStyle="1" w:styleId="TOC3">
    <w:name w:val="TOC 3"/>
    <w:basedOn w:val="Normalny"/>
    <w:semiHidden/>
    <w:rsid w:val="005E338B"/>
    <w:pPr>
      <w:tabs>
        <w:tab w:val="right" w:leader="dot" w:pos="7371"/>
      </w:tabs>
      <w:ind w:left="400"/>
      <w:jc w:val="left"/>
    </w:pPr>
  </w:style>
  <w:style w:type="paragraph" w:customStyle="1" w:styleId="TOC4">
    <w:name w:val="TOC 4"/>
    <w:basedOn w:val="Normalny"/>
    <w:semiHidden/>
    <w:rsid w:val="005E338B"/>
    <w:pPr>
      <w:tabs>
        <w:tab w:val="right" w:leader="dot" w:pos="7371"/>
      </w:tabs>
      <w:ind w:left="600"/>
      <w:jc w:val="left"/>
    </w:pPr>
    <w:rPr>
      <w:sz w:val="18"/>
    </w:rPr>
  </w:style>
  <w:style w:type="paragraph" w:customStyle="1" w:styleId="TOC5">
    <w:name w:val="TOC 5"/>
    <w:basedOn w:val="Normalny"/>
    <w:semiHidden/>
    <w:rsid w:val="005E338B"/>
    <w:pPr>
      <w:tabs>
        <w:tab w:val="right" w:leader="dot" w:pos="7371"/>
      </w:tabs>
      <w:ind w:left="800"/>
      <w:jc w:val="left"/>
    </w:pPr>
    <w:rPr>
      <w:sz w:val="18"/>
    </w:rPr>
  </w:style>
  <w:style w:type="paragraph" w:customStyle="1" w:styleId="TOC6">
    <w:name w:val="TOC 6"/>
    <w:basedOn w:val="Normalny"/>
    <w:semiHidden/>
    <w:rsid w:val="005E338B"/>
    <w:pPr>
      <w:tabs>
        <w:tab w:val="right" w:leader="dot" w:pos="7371"/>
      </w:tabs>
      <w:ind w:left="1000"/>
      <w:jc w:val="left"/>
    </w:pPr>
    <w:rPr>
      <w:sz w:val="18"/>
    </w:rPr>
  </w:style>
  <w:style w:type="paragraph" w:customStyle="1" w:styleId="TOC7">
    <w:name w:val="TOC 7"/>
    <w:basedOn w:val="Normalny"/>
    <w:semiHidden/>
    <w:rsid w:val="005E338B"/>
    <w:pPr>
      <w:tabs>
        <w:tab w:val="right" w:leader="dot" w:pos="7371"/>
      </w:tabs>
      <w:ind w:left="1200"/>
      <w:jc w:val="left"/>
    </w:pPr>
    <w:rPr>
      <w:sz w:val="18"/>
    </w:rPr>
  </w:style>
  <w:style w:type="paragraph" w:customStyle="1" w:styleId="TOC8">
    <w:name w:val="TOC 8"/>
    <w:basedOn w:val="Normalny"/>
    <w:semiHidden/>
    <w:rsid w:val="005E338B"/>
    <w:pPr>
      <w:tabs>
        <w:tab w:val="right" w:leader="dot" w:pos="7371"/>
      </w:tabs>
      <w:ind w:left="1400"/>
      <w:jc w:val="left"/>
    </w:pPr>
    <w:rPr>
      <w:sz w:val="18"/>
    </w:rPr>
  </w:style>
  <w:style w:type="paragraph" w:customStyle="1" w:styleId="TOC9">
    <w:name w:val="TOC 9"/>
    <w:basedOn w:val="Normalny"/>
    <w:semiHidden/>
    <w:rsid w:val="005E338B"/>
    <w:pPr>
      <w:tabs>
        <w:tab w:val="right" w:leader="dot" w:pos="7371"/>
      </w:tabs>
      <w:ind w:left="1600"/>
      <w:jc w:val="left"/>
    </w:pPr>
    <w:rPr>
      <w:sz w:val="18"/>
    </w:rPr>
  </w:style>
  <w:style w:type="paragraph" w:customStyle="1" w:styleId="StylIwony">
    <w:name w:val="Styl Iwony"/>
    <w:basedOn w:val="Normalny"/>
    <w:qFormat/>
    <w:rsid w:val="005E338B"/>
    <w:pPr>
      <w:spacing w:before="120" w:after="120"/>
    </w:pPr>
    <w:rPr>
      <w:rFonts w:ascii="Bookman Old Style" w:hAnsi="Bookman Old Style"/>
    </w:rPr>
  </w:style>
  <w:style w:type="paragraph" w:customStyle="1" w:styleId="Footer">
    <w:name w:val="Footer"/>
    <w:basedOn w:val="Normalny"/>
    <w:link w:val="StopkaZnak"/>
    <w:uiPriority w:val="99"/>
    <w:semiHidden/>
    <w:unhideWhenUsed/>
    <w:rsid w:val="00BD4A77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Tekstprzypisudolnego">
    <w:name w:val="footnote text"/>
    <w:basedOn w:val="Normalny"/>
    <w:semiHidden/>
    <w:qFormat/>
    <w:rsid w:val="005E338B"/>
  </w:style>
  <w:style w:type="paragraph" w:customStyle="1" w:styleId="tekstost">
    <w:name w:val="tekst ost"/>
    <w:basedOn w:val="Normalny"/>
    <w:qFormat/>
    <w:rsid w:val="005E338B"/>
  </w:style>
  <w:style w:type="paragraph" w:styleId="Zwykytekst">
    <w:name w:val="Plain Text"/>
    <w:basedOn w:val="Normalny"/>
    <w:link w:val="ZwykytekstZnak"/>
    <w:qFormat/>
    <w:rsid w:val="005E2D0D"/>
    <w:pPr>
      <w:jc w:val="left"/>
      <w:textAlignment w:val="auto"/>
    </w:pPr>
    <w:rPr>
      <w:rFonts w:ascii="Courier New" w:hAnsi="Courier New" w:cs="Courier New"/>
    </w:rPr>
  </w:style>
  <w:style w:type="paragraph" w:customStyle="1" w:styleId="Gwkalewa">
    <w:name w:val="Główka lewa"/>
    <w:basedOn w:val="Normalny"/>
    <w:qFormat/>
    <w:rsid w:val="005E2D0D"/>
    <w:pPr>
      <w:suppressLineNumbers/>
      <w:tabs>
        <w:tab w:val="center" w:pos="3685"/>
        <w:tab w:val="right" w:pos="7370"/>
      </w:tabs>
    </w:pPr>
  </w:style>
  <w:style w:type="paragraph" w:customStyle="1" w:styleId="Zawartotabeli">
    <w:name w:val="Zawartość tabeli"/>
    <w:basedOn w:val="Normalny"/>
    <w:qFormat/>
    <w:rsid w:val="005E2D0D"/>
  </w:style>
  <w:style w:type="paragraph" w:customStyle="1" w:styleId="Nagwektabeli">
    <w:name w:val="Nagłówek tabeli"/>
    <w:basedOn w:val="Zawartotabeli"/>
    <w:qFormat/>
    <w:rsid w:val="005E2D0D"/>
    <w:pPr>
      <w:suppressLineNumbers/>
      <w:jc w:val="center"/>
    </w:pPr>
    <w:rPr>
      <w:b/>
      <w:bCs/>
    </w:rPr>
  </w:style>
  <w:style w:type="paragraph" w:customStyle="1" w:styleId="Standardowytekst">
    <w:name w:val="Standardowy.tekst"/>
    <w:qFormat/>
    <w:rsid w:val="005E2D0D"/>
    <w:pPr>
      <w:jc w:val="both"/>
      <w:textAlignment w:val="baseline"/>
    </w:pPr>
    <w:rPr>
      <w:rFonts w:ascii="Times New Roman" w:eastAsia="Times New Roman" w:hAnsi="Times New Roman" w:cs="Times New Roman"/>
      <w:color w:val="00000A"/>
      <w:sz w:val="24"/>
      <w:szCs w:val="20"/>
      <w:lang w:bidi="ar-SA"/>
    </w:rPr>
  </w:style>
  <w:style w:type="paragraph" w:customStyle="1" w:styleId="FootnoteText">
    <w:name w:val="Footnote Text"/>
    <w:basedOn w:val="Normalny"/>
    <w:rsid w:val="005E2D0D"/>
  </w:style>
  <w:style w:type="paragraph" w:styleId="NormalnyWeb">
    <w:name w:val="Normal (Web)"/>
    <w:basedOn w:val="Normalny"/>
    <w:qFormat/>
    <w:rsid w:val="005E2D0D"/>
    <w:pPr>
      <w:spacing w:before="100" w:after="100"/>
      <w:jc w:val="left"/>
      <w:textAlignment w:val="auto"/>
    </w:pPr>
    <w:rPr>
      <w:color w:val="000000"/>
    </w:rPr>
  </w:style>
  <w:style w:type="paragraph" w:styleId="Akapitzlist">
    <w:name w:val="List Paragraph"/>
    <w:basedOn w:val="Normalny"/>
    <w:uiPriority w:val="34"/>
    <w:qFormat/>
    <w:rsid w:val="00BD4A77"/>
    <w:pPr>
      <w:ind w:left="720"/>
      <w:contextualSpacing/>
    </w:pPr>
    <w:rPr>
      <w:rFonts w:cs="Mangal"/>
      <w:szCs w:val="21"/>
    </w:rPr>
  </w:style>
  <w:style w:type="numbering" w:customStyle="1" w:styleId="WW8Num1">
    <w:name w:val="WW8Num1"/>
    <w:qFormat/>
    <w:rsid w:val="005E2D0D"/>
  </w:style>
  <w:style w:type="numbering" w:customStyle="1" w:styleId="WW8Num2">
    <w:name w:val="WW8Num2"/>
    <w:qFormat/>
    <w:rsid w:val="005E2D0D"/>
  </w:style>
  <w:style w:type="numbering" w:customStyle="1" w:styleId="WW8Num3">
    <w:name w:val="WW8Num3"/>
    <w:qFormat/>
    <w:rsid w:val="005E2D0D"/>
  </w:style>
  <w:style w:type="numbering" w:customStyle="1" w:styleId="WW8Num4">
    <w:name w:val="WW8Num4"/>
    <w:qFormat/>
    <w:rsid w:val="005E2D0D"/>
  </w:style>
  <w:style w:type="numbering" w:customStyle="1" w:styleId="WW8Num5">
    <w:name w:val="WW8Num5"/>
    <w:qFormat/>
    <w:rsid w:val="005E2D0D"/>
  </w:style>
  <w:style w:type="numbering" w:customStyle="1" w:styleId="WW8Num6">
    <w:name w:val="WW8Num6"/>
    <w:qFormat/>
    <w:rsid w:val="005E2D0D"/>
  </w:style>
  <w:style w:type="numbering" w:customStyle="1" w:styleId="WW8Num7">
    <w:name w:val="WW8Num7"/>
    <w:qFormat/>
    <w:rsid w:val="005E2D0D"/>
  </w:style>
  <w:style w:type="numbering" w:customStyle="1" w:styleId="WW8Num8">
    <w:name w:val="WW8Num8"/>
    <w:qFormat/>
    <w:rsid w:val="005E2D0D"/>
  </w:style>
  <w:style w:type="numbering" w:customStyle="1" w:styleId="WW8Num9">
    <w:name w:val="WW8Num9"/>
    <w:qFormat/>
    <w:rsid w:val="005E2D0D"/>
  </w:style>
  <w:style w:type="numbering" w:customStyle="1" w:styleId="WW8Num10">
    <w:name w:val="WW8Num10"/>
    <w:qFormat/>
    <w:rsid w:val="005E2D0D"/>
  </w:style>
  <w:style w:type="numbering" w:customStyle="1" w:styleId="WW8Num11">
    <w:name w:val="WW8Num11"/>
    <w:qFormat/>
    <w:rsid w:val="005E2D0D"/>
  </w:style>
  <w:style w:type="numbering" w:customStyle="1" w:styleId="WW8Num12">
    <w:name w:val="WW8Num12"/>
    <w:qFormat/>
    <w:rsid w:val="005E2D0D"/>
  </w:style>
  <w:style w:type="numbering" w:customStyle="1" w:styleId="WW8Num13">
    <w:name w:val="WW8Num13"/>
    <w:qFormat/>
    <w:rsid w:val="005E2D0D"/>
  </w:style>
  <w:style w:type="numbering" w:customStyle="1" w:styleId="WW8Num14">
    <w:name w:val="WW8Num14"/>
    <w:qFormat/>
    <w:rsid w:val="005E2D0D"/>
  </w:style>
  <w:style w:type="numbering" w:customStyle="1" w:styleId="WW8Num15">
    <w:name w:val="WW8Num15"/>
    <w:qFormat/>
    <w:rsid w:val="005E2D0D"/>
  </w:style>
  <w:style w:type="numbering" w:customStyle="1" w:styleId="WW8Num16">
    <w:name w:val="WW8Num16"/>
    <w:qFormat/>
    <w:rsid w:val="005E2D0D"/>
  </w:style>
  <w:style w:type="numbering" w:customStyle="1" w:styleId="WW8Num17">
    <w:name w:val="WW8Num17"/>
    <w:qFormat/>
    <w:rsid w:val="005E2D0D"/>
  </w:style>
  <w:style w:type="paragraph" w:styleId="Stopka">
    <w:name w:val="footer"/>
    <w:basedOn w:val="Normalny"/>
    <w:link w:val="StopkaZnak1"/>
    <w:uiPriority w:val="99"/>
    <w:unhideWhenUsed/>
    <w:rsid w:val="000407EB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StopkaZnak1">
    <w:name w:val="Stopka Znak1"/>
    <w:basedOn w:val="Domylnaczcionkaakapitu"/>
    <w:link w:val="Stopka"/>
    <w:uiPriority w:val="99"/>
    <w:semiHidden/>
    <w:rsid w:val="000407EB"/>
    <w:rPr>
      <w:rFonts w:cs="Mangal"/>
      <w:color w:val="00000A"/>
      <w:sz w:val="24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8</Pages>
  <Words>3263</Words>
  <Characters>19579</Characters>
  <Application>Microsoft Office Word</Application>
  <DocSecurity>0</DocSecurity>
  <Lines>163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D-07.07.01</vt:lpstr>
    </vt:vector>
  </TitlesOfParts>
  <Company>Warszawa      Skaryszewska 19</Company>
  <LinksUpToDate>false</LinksUpToDate>
  <CharactersWithSpaces>22797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D-07.07.01</dc:title>
  <dc:subject>ost</dc:subject>
  <dc:creator>BZDBDiM Sp. z o.o.</dc:creator>
  <cp:keywords>specyfikacje drogi drogownictwo ost</cp:keywords>
  <dc:description>Oświetlenie dróg</dc:description>
  <cp:lastModifiedBy>maruszczyka</cp:lastModifiedBy>
  <cp:revision>4</cp:revision>
  <cp:lastPrinted>1998-04-22T11:57:00Z</cp:lastPrinted>
  <dcterms:created xsi:type="dcterms:W3CDTF">2021-09-02T09:47:00Z</dcterms:created>
  <dcterms:modified xsi:type="dcterms:W3CDTF">2021-09-02T10:13:00Z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Warszawa      Skaryszewska 19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