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ytu"/>
        <w:spacing w:lineRule="auto" w:line="360"/>
        <w:jc w:val="left"/>
        <w:rPr/>
      </w:pPr>
      <w:r>
        <w:rPr>
          <w:rFonts w:cs="Calibri" w:ascii="Calibri" w:hAnsi="Calibri"/>
          <w:b w:val="false"/>
          <w:bCs w:val="false"/>
          <w:sz w:val="24"/>
          <w:szCs w:val="24"/>
        </w:rPr>
        <w:t>Załącznik nr 1 do Formularza ofertowego</w:t>
      </w:r>
    </w:p>
    <w:p>
      <w:pPr>
        <w:pStyle w:val="Tytu"/>
        <w:spacing w:lineRule="auto" w:line="360"/>
        <w:jc w:val="center"/>
        <w:rPr/>
      </w:pPr>
      <w:r>
        <w:rPr>
          <w:rFonts w:cs="Calibri" w:ascii="Calibri" w:hAnsi="Calibri"/>
          <w:b/>
          <w:bCs/>
          <w:sz w:val="32"/>
          <w:szCs w:val="32"/>
        </w:rPr>
        <w:t xml:space="preserve">Formularz </w:t>
      </w:r>
      <w:r>
        <w:rPr>
          <w:rFonts w:eastAsia="Microsoft YaHei" w:cs="Calibri" w:ascii="Calibri" w:hAnsi="Calibri"/>
          <w:b/>
          <w:bCs/>
          <w:color w:val="auto"/>
          <w:kern w:val="2"/>
          <w:sz w:val="32"/>
          <w:szCs w:val="32"/>
          <w:lang w:val="pl-PL" w:eastAsia="zh-CN" w:bidi="hi-IN"/>
        </w:rPr>
        <w:t>cenowy</w:t>
      </w:r>
    </w:p>
    <w:p>
      <w:pPr>
        <w:pStyle w:val="Tretekstu"/>
        <w:spacing w:lineRule="auto" w:line="276"/>
        <w:jc w:val="left"/>
        <w:rPr>
          <w:rFonts w:ascii="Calibri" w:hAnsi="Calibri" w:cs="Calibri"/>
          <w:b w:val="false"/>
          <w:b w:val="false"/>
          <w:sz w:val="20"/>
          <w:szCs w:val="20"/>
        </w:rPr>
      </w:pPr>
      <w:r>
        <w:rPr>
          <w:rFonts w:cs="Calibri" w:ascii="Calibri" w:hAnsi="Calibri"/>
          <w:b w:val="false"/>
          <w:sz w:val="20"/>
          <w:szCs w:val="20"/>
        </w:rPr>
      </w:r>
    </w:p>
    <w:tbl>
      <w:tblPr>
        <w:tblStyle w:val="6"/>
        <w:tblW w:w="16048" w:type="dxa"/>
        <w:jc w:val="left"/>
        <w:tblInd w:w="-9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350"/>
        <w:gridCol w:w="1823"/>
        <w:gridCol w:w="3623"/>
        <w:gridCol w:w="623"/>
        <w:gridCol w:w="969"/>
        <w:gridCol w:w="1478"/>
        <w:gridCol w:w="1526"/>
        <w:gridCol w:w="3974"/>
      </w:tblGrid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Lp.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  <w:shd w:fill="auto" w:val="clear"/>
              </w:rPr>
              <w:t>Typ -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  <w:shd w:fill="auto" w:val="clear"/>
              </w:rPr>
              <w:t>asortyment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  <w:shd w:fill="auto" w:val="clear"/>
              </w:rPr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Parametr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Wymagane minimalne parametry techniczne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szt.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Cena jedn. netto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Wartość netto</w:t>
            </w:r>
          </w:p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kol. (5) x kol. (6)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Oferowane parametry techniczne</w:t>
            </w:r>
          </w:p>
        </w:tc>
      </w:tr>
      <w:tr>
        <w:trPr/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(1)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  <w:shd w:fill="auto" w:val="clear"/>
              </w:rPr>
              <w:t>(2)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(3)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(4)</w:t>
            </w:r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(5)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(6)</w:t>
            </w:r>
          </w:p>
        </w:tc>
        <w:tc>
          <w:tcPr>
            <w:tcW w:w="1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(7)</w:t>
            </w: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(8)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bCs/>
                <w:sz w:val="20"/>
                <w:szCs w:val="20"/>
              </w:rPr>
              <w:t>(9)</w:t>
            </w:r>
          </w:p>
        </w:tc>
      </w:tr>
      <w:tr>
        <w:trPr>
          <w:trHeight w:val="567" w:hRule="atLeast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1.</w:t>
            </w:r>
          </w:p>
        </w:tc>
        <w:tc>
          <w:tcPr>
            <w:tcW w:w="1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Serwer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obudowa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typu rack o wysokości maksymalnej 2U,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wyposażona w min. 8 kieszeni na dyski twarde 3,5” typu HOT-SWAP,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zabezpieczenie przed demontażem dysków twardych w postaci ramki,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 xml:space="preserve"> 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wyświetlacz LCD (jeśli producent posiada w swojej ofercie ramkę zabezpieczającą z wyświetlaczem LCD),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dedykowane szyny montażowe typu rack o regulowanej głębokości szafy rackowej.</w:t>
            </w:r>
          </w:p>
        </w:tc>
        <w:tc>
          <w:tcPr>
            <w:tcW w:w="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1</w:t>
            </w:r>
          </w:p>
        </w:tc>
        <w:tc>
          <w:tcPr>
            <w:tcW w:w="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Płyta główna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umożliwiająca montaż dwóch procesorów,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umożliwiająca montaż wszystkich wskazanych poniżej komponentów.</w:t>
            </w:r>
          </w:p>
        </w:tc>
        <w:tc>
          <w:tcPr>
            <w:tcW w:w="6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Procesory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Tahoma" w:hAnsi="Tahoma"/>
              </w:rPr>
            </w:pPr>
            <w:r>
              <w:rPr>
                <w:rFonts w:eastAsia="SimSun" w:cs="Calibri" w:ascii="Tahoma" w:hAnsi="Tahoma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zainstalowane 2 sztuki procesorów,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Tahoma" w:hAnsi="Tahoma"/>
              </w:rPr>
            </w:pPr>
            <w:r>
              <w:rPr>
                <w:rFonts w:eastAsia="SimSun" w:cs="Calibri" w:ascii="Tahoma" w:hAnsi="Tahoma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zgodność z zasadami licencjonowania zakupowanym w niniejszym postępowaniu „zestawem oprogramowania serwerowego wraz z licencjami”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Tahoma" w:hAnsi="Tahoma"/>
              </w:rPr>
            </w:pPr>
            <w:r>
              <w:rPr>
                <w:rFonts w:eastAsia="SimSun" w:cs="Calibri" w:ascii="Tahoma" w:hAnsi="Tahoma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dwa procesory osiągające razem wynik co najmniej 34000 pkt. w rankingu CPU Benchmarks Pass Mark https://www.cpubenchmark.net/cpu_list.php wg stanu na dzień 11.03.2022 r.</w:t>
            </w:r>
          </w:p>
        </w:tc>
        <w:tc>
          <w:tcPr>
            <w:tcW w:w="6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Pamięć operacyjna RAM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Nie mniej niż 8 sztuk modułów po 32GB każdy zgodnych z zaproponowanym typem procesorów i płytą główną,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funkcja korekcji błędów występujących podczas pracy – ECC.</w:t>
            </w:r>
          </w:p>
        </w:tc>
        <w:tc>
          <w:tcPr>
            <w:tcW w:w="6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Przestrzeń dyskowa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- 12 sztuk półprzewodnikowych dysków twardych SSD do zastosowań serwerowych o pojemności nie mniejszej niż 1,6TB zainstalowanych, w kieszeniach typu HOT-PLUG (8 dysków zainstalowanych w serwerze oraz 4 dyski zapasowe), dyski podłączone do sprzętowego kontrolera RAID, parametr DWPD nie mniejszy niż 3 (o ile to konieczne dołączone adaptery do montażu dysków 2,5” w kieszeniach 3,5”).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- 2 sztuki półprzewodnikowych dysków twardych do zastosowań serwerowych o pojemności minimum 240GB do przechowywania i uruchamiania systemu operacyjnego, z możliwością skonfigurowania ich do pracy w trybie RAID 1 (o ile to konieczne dodatkowy kontroler), dyski umieszczone w specjalnej kieszeni lub zainstalowane na dedykowanej karcie.</w:t>
            </w:r>
          </w:p>
        </w:tc>
        <w:tc>
          <w:tcPr>
            <w:tcW w:w="6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Kontroler RAID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sprzętowy kontroler RAID,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umożliwiający pracę w trybach RAID minimum: 0/1/5/6/10/50/60,</w:t>
              <w:br/>
              <w:t>- obsługa dysków z interfejsem SAS/SATA,</w:t>
              <w:br/>
              <w:t>- cache o pojemności nie mniejszej niż 2GB,</w:t>
              <w:br/>
              <w:t xml:space="preserve">- zabezpieczenie kontrolera przed utratą danych w przypadku zaniku zasilania za pomocą baterii bądź superkondensatorów, </w:t>
              <w:br/>
              <w:t>- sprzętowy kontroler kompatybilny z VMware vSphere (ESXi)* min. 6.7.</w:t>
            </w:r>
          </w:p>
        </w:tc>
        <w:tc>
          <w:tcPr>
            <w:tcW w:w="6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Zasilacze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- 2 sztuki rendundantnych zasilaczy typu HOT-PLUGING / HOT-SWAP),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moc każdego z zasilaczy zapewniająca poprawną pracę serwera, jednak nie mniejsza niż 700W.</w:t>
            </w:r>
          </w:p>
        </w:tc>
        <w:tc>
          <w:tcPr>
            <w:tcW w:w="6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Zdalne zarządzenie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dedykowany port RJ-45 do zdalnego zarządzania serwerem,</w:t>
              <w:br/>
              <w:t>- rozwiązanie niezależne od systemu operacyjnego,</w:t>
              <w:br/>
              <w:t>- licencja powinna pozwalać na: włączenie / wyłączenie / restart serwera, podgląd logów sprzętowych serwera,</w:t>
              <w:br/>
              <w:t>- umożliwiający update systemowego firmware’u.</w:t>
            </w:r>
          </w:p>
        </w:tc>
        <w:tc>
          <w:tcPr>
            <w:tcW w:w="6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Złącza sieciowe ethernet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nie mniej niż 4 porty RJ-45 o prędkości minimum 1Gb/s,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- 2 porty 10Gb/s 10GBASE-T, kompatybilne wstecznie z 1Gb/s ze złączem RJ-45.</w:t>
            </w:r>
          </w:p>
        </w:tc>
        <w:tc>
          <w:tcPr>
            <w:tcW w:w="6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Wspierane systemy operacyjne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Microsoft Windows Server 2019*, Red Hat Enterprise Linux*, SUSE Linux Enterprise Server*, VMware vSphere (ESXi)* min. 6.7.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Zarówno model serwera jak i dodatkowe karty IO muszą się znajdować na liście kompatybilności VMware* w celu zapewnienia pełnego wsparcia dla całej platformy.</w:t>
              <w:br/>
              <w:t>https://www.vmware.com/resources/compatibility/search.php</w:t>
            </w:r>
          </w:p>
        </w:tc>
        <w:tc>
          <w:tcPr>
            <w:tcW w:w="6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Warunki gwarancji – serwer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min. 3 lata gwarancji producenta na części i robociznę, naprawa w miejscu użytkowania, reakcja serwisowa w następnym dniu roboczym od zgłoszenia awarii;</w:t>
            </w:r>
          </w:p>
        </w:tc>
        <w:tc>
          <w:tcPr>
            <w:tcW w:w="6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Warunki gwarancji – dyski</w:t>
            </w:r>
          </w:p>
          <w:p>
            <w:pPr>
              <w:pStyle w:val="Zawartotabeli"/>
              <w:widowControl w:val="false"/>
              <w:suppressAutoHyphens w:val="true"/>
              <w:spacing w:lineRule="auto" w:line="360" w:before="114" w:after="114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twarde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min. 3 lata gwarancji producenta na części i robociznę. W przypadku awarii dyski twarde pozostają u Zamawiającego</w:t>
            </w:r>
          </w:p>
        </w:tc>
        <w:tc>
          <w:tcPr>
            <w:tcW w:w="6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2.</w:t>
            </w:r>
          </w:p>
        </w:tc>
        <w:tc>
          <w:tcPr>
            <w:tcW w:w="13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Serwer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obudowa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typu rack o wysokości maksymalnej 2U,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wyposażona w min. 8 kieszeni na dyski twarde 3,5” typu HOT-SWAP,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zabezpieczenie przed demontażem dysków twardych w postaci ramki,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wyświetlacz LCD (jeśli producent posiada w swojej ofercie ramkę zabezpieczającą z wyświetlaczem LCD),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dedykowane szyny montażowe typu rack o regulowanej głębokości szafy rackowej</w:t>
            </w:r>
          </w:p>
        </w:tc>
        <w:tc>
          <w:tcPr>
            <w:tcW w:w="62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2</w:t>
            </w:r>
          </w:p>
        </w:tc>
        <w:tc>
          <w:tcPr>
            <w:tcW w:w="9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Płyta główna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umożliwiająca montaż dwóch procesorów,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umożliwiająca montaż wszystkich wskazanych poniżej komponentów.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Procesory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Tahoma" w:hAnsi="Tahoma"/>
              </w:rPr>
            </w:pPr>
            <w:r>
              <w:rPr>
                <w:rFonts w:eastAsia="SimSun" w:cs="Calibri" w:ascii="Tahoma" w:hAnsi="Tahoma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zainstalowane 2 sztuki procesorów,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Tahoma" w:hAnsi="Tahoma"/>
              </w:rPr>
            </w:pPr>
            <w:r>
              <w:rPr>
                <w:rFonts w:eastAsia="SimSun" w:cs="Calibri" w:ascii="Tahoma" w:hAnsi="Tahoma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zgodność z zasadami licencjonowania zakupowanym w niniejszym postępowaniu „zestawem oprogramowania serwerowego wraz z licencjami”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Tahoma" w:hAnsi="Tahoma"/>
              </w:rPr>
            </w:pPr>
            <w:r>
              <w:rPr>
                <w:rFonts w:eastAsia="SimSun" w:cs="Calibri" w:ascii="Tahoma" w:hAnsi="Tahoma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dwa procesory osiągające razem wynik co najmniej 34000 pkt. w rankingu CPU Benchmarks Pass Mark https://www.cpubenchmark.net/cpu_list.php wg stanu na dzień 11.03.2022 r.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Pamięć operacyjna RAM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Nie mniej niż 8 sztuk modułów po 32GB każdy zgodnych z zaproponowanym typem procesorów i płytą główną,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funkcja korekcji błędów występujących podczas pracy – ECC.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Przestrzeń dyskowa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- 12 sztuk dysków twardych HDD typu NLSAS o pojemności nie mniejszej niż 2TB, rozmiar 3,5”, HOT-PLUG (8 dysków zainstalowanych w serwerze oraz 4 dyski zapasowe), dyski podłączone do sprzętowego kontrolera RAID.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- 2 sztuki półprzewodnikowych dysków twardych do zastosowań serwerowych o pojemności minimum 240GB do przechowywania i uruchamiania systemu operacyjnego, z możliwością skonfigurowania ich do pracy w trybie RAID 1 (o ile to konieczne dodatkowy kontroler), dyski umieszczone w specjalnej kieszeni lub zainstalowane na dedykowanej karcie.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Kontroler RAID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sprzętowy kontroler RAID,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umożliwiający pracę w trybach RAID minimum: 0/1/5/6/10/50/60,</w:t>
              <w:br/>
            </w:r>
            <w:bookmarkStart w:id="0" w:name="_GoBack2"/>
            <w:bookmarkEnd w:id="0"/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obsługa dysków z interfejsem SAS/SATA,</w:t>
              <w:br/>
              <w:t>- cache o pojemności nie mniejszej niż 2GB,</w:t>
              <w:br/>
              <w:t xml:space="preserve">- zabezpieczenie kontrolera przed utratą danych w przypadku zaniku zasilania za pomocą baterii bądź superkondensatorów, </w:t>
              <w:br/>
              <w:t>- sprzętowy kontroler kompatybilny z VMware vSphere (ESXi)* min. 6.7.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Zasilacze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- 2 sztuki rendundantnych zasilaczy typu HOT-PLUGING / HOT-SWAP),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moc każdego z zasilaczy zapewniająca poprawną pracę serwera, jednak nie mniejsza niż 700W.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Zdalne zarządzenie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dedykowany port RJ-45 do zdalnego zarządzania serwerem,</w:t>
              <w:br/>
              <w:t>- rozwiązanie niezależne od systemu operacyjnego,</w:t>
              <w:br/>
              <w:t>- licencja powinna pozwalać na: włączenie / wyłączenie / restart serwera, podgląd logów sprzętowych serwera,</w:t>
              <w:br/>
              <w:t>- umożliwiający update systemowego firmware’u.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Złącza sieciowe ethernet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nie mniej niż 4 porty RJ-45 o prędkości minimum 1Gb/s,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- 2 porty 10Gb/s 10GBASE-T, kompatybilne wstecznie z 1Gb/s ze złączem RJ-45.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i/>
                <w:i/>
                <w:sz w:val="20"/>
                <w:szCs w:val="20"/>
                <w:highlight w:val="yellow"/>
              </w:rPr>
            </w:pPr>
            <w:r>
              <w:rPr>
                <w:rFonts w:cs="Calibri" w:ascii="Calibri" w:hAnsi="Calibri"/>
                <w:b w:val="false"/>
                <w:bCs w:val="false"/>
                <w:i/>
                <w:sz w:val="20"/>
                <w:szCs w:val="20"/>
                <w:highlight w:val="yellow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i/>
                <w:i/>
                <w:sz w:val="20"/>
                <w:szCs w:val="20"/>
                <w:highlight w:val="yellow"/>
              </w:rPr>
            </w:pPr>
            <w:r>
              <w:rPr>
                <w:rFonts w:cs="Calibri" w:ascii="Calibri" w:hAnsi="Calibri"/>
                <w:b w:val="false"/>
                <w:bCs w:val="false"/>
                <w:i/>
                <w:sz w:val="20"/>
                <w:szCs w:val="20"/>
                <w:highlight w:val="yellow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i/>
                <w:i/>
                <w:sz w:val="20"/>
                <w:szCs w:val="20"/>
                <w:highlight w:val="yellow"/>
              </w:rPr>
            </w:pPr>
            <w:r>
              <w:rPr>
                <w:rFonts w:cs="Calibri" w:ascii="Calibri" w:hAnsi="Calibri"/>
                <w:b w:val="false"/>
                <w:bCs w:val="false"/>
                <w:i/>
                <w:sz w:val="20"/>
                <w:szCs w:val="20"/>
                <w:highlight w:val="yellow"/>
              </w:rPr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Wspierane systemy operacyjne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Microsoft Windows Server 2019*, Red Hat Enterprise Linux*, SUSE Linux Enterprise Server*, VMware vSphere (ESXi)* min. 6.7.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Zarówno model serwera jak i dodatkowe karty IO muszą się znajdować na liście kompatybilności VMware* w celu zapewnienia pełnego wsparcia dla całej platformy.</w:t>
              <w:br/>
              <w:t>https://www.vmware.com/resources/compatibility/search.php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Warunki gwarancji -serwer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min. 3 lata gwarancji producenta na części i robociznę, naprawa w miejscu użytkowania, reakcja serwisowa w następnym dniu roboczym od zgłoszenia awarii;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numPr>
                <w:ilvl w:val="0"/>
                <w:numId w:val="0"/>
              </w:numPr>
              <w:snapToGrid w:val="false"/>
              <w:spacing w:lineRule="auto" w:line="276"/>
              <w:ind w:left="720" w:hanging="0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Warunki gwarancji – dyski twarde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min. 3 lata gwarancji producenta na części i robociznę. W przypadku awarii dyski twarde pozostają u Zamawiającego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bookmarkStart w:id="1" w:name="_GoBack"/>
            <w:bookmarkEnd w:id="1"/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3.</w:t>
            </w:r>
          </w:p>
        </w:tc>
        <w:tc>
          <w:tcPr>
            <w:tcW w:w="135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System operacyjny</w:t>
            </w:r>
          </w:p>
        </w:tc>
        <w:tc>
          <w:tcPr>
            <w:tcW w:w="182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rodzaj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Microsoft Windows Server* Datacenter 2022 64Bit Polish 24 Core lub równoważny</w:t>
            </w:r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1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  <w:bookmarkStart w:id="2" w:name="_GoBack1"/>
            <w:bookmarkStart w:id="3" w:name="_GoBack1"/>
            <w:bookmarkEnd w:id="3"/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shd w:fill="auto" w:val="clear"/>
                <w:lang w:val="pl-PL" w:eastAsia="zh-CN" w:bidi="hi-IN"/>
              </w:rPr>
              <w:t>Windows Server* CAL 2022 User CAL lub równoważny</w:t>
            </w:r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shd w:fill="auto" w:val="clear"/>
                <w:lang w:val="pl-PL" w:eastAsia="zh-CN" w:bidi="hi-IN"/>
              </w:rPr>
              <w:t>120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4.</w:t>
            </w:r>
          </w:p>
        </w:tc>
        <w:tc>
          <w:tcPr>
            <w:tcW w:w="135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Zasilacz awaryjny UPS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obudowa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kern w:val="0"/>
                <w:sz w:val="20"/>
                <w:szCs w:val="20"/>
                <w:lang w:val="pl-PL" w:eastAsia="zh-CN" w:bidi="hi-IN"/>
              </w:rPr>
              <w:t>- umożliwiająca montaż w szafach serwerowych,</w:t>
            </w:r>
          </w:p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wysokość maksymalna 2U.</w:t>
            </w:r>
          </w:p>
        </w:tc>
        <w:tc>
          <w:tcPr>
            <w:tcW w:w="62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2</w:t>
            </w:r>
          </w:p>
        </w:tc>
        <w:tc>
          <w:tcPr>
            <w:tcW w:w="9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szyny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dołączone szyny montażowe umożliwiające montaż urządzenia w szafach rackowych o różnej głębokości (szyny teleskopowe).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topologia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typu line-interactive.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Kształt napięcia wyjściowego przy pracy bateryjnej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sinusoidalny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Maksymalna moc pracy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nie mniejsza niż 3000VA,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rzeczywista – nie mniejsza niż 2700W.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Sposób komunikacji z komputerem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 w:eastAsia="NSimSun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shd w:fill="auto" w:val="clear"/>
                <w:lang w:val="pl-PL" w:eastAsia="zh-CN" w:bidi="hi-IN"/>
              </w:rPr>
              <w:t>- USB i RJ-45  (je</w:t>
            </w: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śli brak okablowania w zestawie to musi  być ono dołączone przez dostawcę).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Opcje dodatkowe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możliwość podpięcia dodatkowego pakietu akumulatorów,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wyświetlacz prezentujący informacje o pracy urządzenia.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Gniazda elektryczne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gniazdo elektryczne do podłączenia urządzenia z instalacją elektryczną 230V,</w:t>
            </w:r>
          </w:p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nie mniej niż osiem gniazd wyjściowych do przyłączenia urządzeń komputerowych (dołączony komplet okablowania).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 w:eastAsia="NSimSun" w:cs="Lucida Sans"/>
                <w:kern w:val="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Gwarancja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 w:eastAsia="NSimSun" w:cs="Lucida Sans"/>
                <w:kern w:val="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Minimum 24 miesiące</w:t>
            </w:r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5.</w:t>
            </w:r>
          </w:p>
        </w:tc>
        <w:tc>
          <w:tcPr>
            <w:tcW w:w="135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Dodatkowy pakiet baterii do zasilaczy awaryjnych ups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obudowa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kern w:val="0"/>
                <w:sz w:val="20"/>
                <w:szCs w:val="20"/>
                <w:lang w:val="pl-PL" w:eastAsia="zh-CN" w:bidi="hi-IN"/>
              </w:rPr>
              <w:t>- umożliwiająca montaż w szafach serwerowych,</w:t>
            </w:r>
          </w:p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kern w:val="0"/>
                <w:sz w:val="20"/>
                <w:szCs w:val="20"/>
                <w:lang w:val="pl-PL" w:eastAsia="zh-CN" w:bidi="hi-IN"/>
              </w:rPr>
              <w:t>- wysokość maksymalna 2U.</w:t>
            </w:r>
          </w:p>
        </w:tc>
        <w:tc>
          <w:tcPr>
            <w:tcW w:w="62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2</w:t>
            </w:r>
          </w:p>
        </w:tc>
        <w:tc>
          <w:tcPr>
            <w:tcW w:w="9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szyny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dołączone szyny montażowe umożliwiające montaż urządzenia w szafach rackowych o różnej głębokości (szyny teleskopowe).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możliwości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współpraca z zaproponowanymi w punkcie 4 modelami UPSów serwerowych.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akcesoria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dołączony przewód umożliwiający podłączenie do zaproponowanych UPSów serwerowych.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 w:eastAsia="NSimSun" w:cs="Lucida Sans"/>
                <w:kern w:val="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Gwarancja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 w:eastAsia="NSimSun" w:cs="Lucida Sans"/>
                <w:kern w:val="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Minimum 24 miesiące</w:t>
            </w:r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6</w:t>
            </w:r>
          </w:p>
        </w:tc>
        <w:tc>
          <w:tcPr>
            <w:tcW w:w="135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Dodatkowy pakiet battery kitów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Baterie UPS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color w:val="000000"/>
                <w:kern w:val="0"/>
                <w:sz w:val="20"/>
                <w:szCs w:val="20"/>
                <w:shd w:fill="auto" w:val="clear"/>
                <w:lang w:val="pl-PL" w:eastAsia="zh-CN" w:bidi="hi-IN"/>
              </w:rPr>
              <w:t>W chwili obecnej Zamawiający posiada 3 urządzenia APC SMX3000RMHV2U*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shd w:fill="auto" w:val="clear"/>
                <w:lang w:val="pl-PL" w:eastAsia="zh-CN" w:bidi="hi-IN"/>
              </w:rPr>
              <w:t>. Zamawiający chce nabyć wymienne kartridże baterii  APC Replacement Battery Cartridge APCRBC117</w:t>
            </w:r>
            <w:r>
              <w:rPr>
                <w:rFonts w:eastAsia="SimSun" w:cs="Calibri" w:ascii="Calibri" w:hAnsi="Calibri"/>
                <w:b/>
                <w:bCs/>
                <w:kern w:val="0"/>
                <w:sz w:val="20"/>
                <w:szCs w:val="20"/>
                <w:shd w:fill="auto" w:val="clear"/>
                <w:lang w:val="pl-PL" w:eastAsia="zh-CN" w:bidi="hi-IN"/>
              </w:rPr>
              <w:t xml:space="preserve">* </w:t>
            </w: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shd w:fill="auto" w:val="clear"/>
                <w:lang w:val="pl-PL" w:eastAsia="zh-CN" w:bidi="hi-IN"/>
              </w:rPr>
              <w:t>lub równoważne</w:t>
            </w:r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3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 w:eastAsia="NSimSun" w:cs="Lucida Sans"/>
                <w:kern w:val="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Gwarancja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 w:eastAsia="NSimSun" w:cs="Lucida Sans"/>
                <w:kern w:val="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Minimum 24 miesiące</w:t>
            </w:r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7.</w:t>
            </w:r>
          </w:p>
        </w:tc>
        <w:tc>
          <w:tcPr>
            <w:tcW w:w="135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Dodatkowy pakiet battery kitów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Baterie do batterypacków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color w:val="000000"/>
                <w:kern w:val="0"/>
                <w:sz w:val="20"/>
                <w:szCs w:val="20"/>
                <w:shd w:fill="auto" w:val="clear"/>
                <w:lang w:val="pl-PL" w:eastAsia="zh-CN" w:bidi="hi-IN"/>
              </w:rPr>
              <w:t xml:space="preserve">W chwili obecnej Zamawiający posiada 3 urządzenia APC </w:t>
            </w: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 xml:space="preserve">SMX120RMBP2U*. Zamawiający chce nabyć wymienne kartridże baterii  </w:t>
            </w: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shd w:fill="auto" w:val="clear"/>
                <w:lang w:val="pl-PL" w:eastAsia="zh-CN" w:bidi="hi-IN"/>
              </w:rPr>
              <w:t>APC Replacement Battery Cartridge APCRBC118</w:t>
            </w:r>
            <w:r>
              <w:rPr>
                <w:rFonts w:eastAsia="NSimSun" w:cs="Calibri" w:ascii="Calibri" w:hAnsi="Calibri"/>
                <w:b/>
                <w:bCs/>
                <w:kern w:val="0"/>
                <w:sz w:val="20"/>
                <w:szCs w:val="20"/>
                <w:shd w:fill="auto" w:val="clear"/>
                <w:lang w:val="pl-PL" w:eastAsia="zh-CN" w:bidi="hi-IN"/>
              </w:rPr>
              <w:t>*</w:t>
            </w: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shd w:fill="auto" w:val="clear"/>
                <w:lang w:val="pl-PL" w:eastAsia="zh-CN" w:bidi="hi-IN"/>
              </w:rPr>
              <w:t xml:space="preserve"> lub równoważne</w:t>
            </w:r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6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 w:eastAsia="NSimSun" w:cs="Lucida Sans"/>
                <w:kern w:val="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Gwarancja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 w:eastAsia="NSimSun" w:cs="Lucida Sans"/>
                <w:kern w:val="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Minimum 24 miesiące</w:t>
            </w:r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8.</w:t>
            </w:r>
          </w:p>
        </w:tc>
        <w:tc>
          <w:tcPr>
            <w:tcW w:w="135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Zasilacz awaryjny UPS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obudowa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kern w:val="0"/>
                <w:sz w:val="20"/>
                <w:szCs w:val="20"/>
                <w:lang w:val="pl-PL" w:eastAsia="zh-CN" w:bidi="hi-IN"/>
              </w:rPr>
              <w:t>- umożliwiająca montaż w szafach serwerowych,</w:t>
            </w:r>
          </w:p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kern w:val="0"/>
                <w:sz w:val="20"/>
                <w:szCs w:val="20"/>
                <w:lang w:val="pl-PL" w:eastAsia="zh-CN" w:bidi="hi-IN"/>
              </w:rPr>
              <w:t>- wysokość maksymalna 2U</w:t>
            </w:r>
          </w:p>
        </w:tc>
        <w:tc>
          <w:tcPr>
            <w:tcW w:w="62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3</w:t>
            </w:r>
          </w:p>
        </w:tc>
        <w:tc>
          <w:tcPr>
            <w:tcW w:w="9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szyny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dołączone szyny montażowe umożliwiające montaż urządzenia w szafach rackowych o różnej głębokości (szyny teleskopowe)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topologia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typu line-interactive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Kształt napięcia wyjściowego przy pracy bateryjnej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sinusoidalny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Maksymalna moc pracy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nie mniejsza niż 1500VA,</w:t>
            </w:r>
          </w:p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rzeczywista – nie mniejsza niż 900W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Sposób komunikacji z komputerem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USB i/lub RJ-45 (jeśli brak okablowani w zestawie to musi  być ono dołączone przez dostawcę)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Opcje dodatkowe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wyświetlacz prezentujący informacje o pracy urządzenia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Gniazda elektryczne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Calibri" w:cs="Calibri" w:ascii="Calibri" w:hAnsi="Calibri"/>
                <w:color w:val="000000"/>
                <w:sz w:val="20"/>
                <w:szCs w:val="20"/>
                <w:shd w:fill="auto" w:val="clear"/>
              </w:rPr>
              <w:t xml:space="preserve">- </w:t>
            </w:r>
            <w:r>
              <w:rPr>
                <w:rFonts w:cs="Calibri" w:ascii="Calibri" w:hAnsi="Calibri"/>
                <w:color w:val="000000"/>
                <w:sz w:val="20"/>
                <w:szCs w:val="20"/>
                <w:shd w:fill="auto" w:val="clear"/>
              </w:rPr>
              <w:t>gniazdo elektryczne do podłączenia urządzenia z instalacją elektryczną 230V,</w:t>
            </w:r>
          </w:p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nie mniej niż cztery gniazda wyjściowe do przyłączenia urządzeń komputerowych (dołączony komplet okablowania)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 w:eastAsia="NSimSun" w:cs="Lucida Sans"/>
                <w:kern w:val="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Gwarancja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 w:eastAsia="NSimSun" w:cs="Lucida Sans"/>
                <w:kern w:val="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Minimum 24 miesiące</w:t>
            </w:r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9.</w:t>
            </w:r>
          </w:p>
        </w:tc>
        <w:tc>
          <w:tcPr>
            <w:tcW w:w="135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KVM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obudowa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0"/>
              <w:jc w:val="left"/>
              <w:rPr>
                <w:rFonts w:ascii="Calibri" w:hAnsi="Calibri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kern w:val="0"/>
                <w:sz w:val="20"/>
                <w:szCs w:val="20"/>
                <w:lang w:val="pl-PL" w:eastAsia="zh-CN" w:bidi="hi-IN"/>
              </w:rPr>
              <w:t xml:space="preserve">- </w:t>
            </w:r>
            <w:r>
              <w:rPr>
                <w:rFonts w:eastAsia="SimSun" w:cs="Calibri" w:ascii="Calibri" w:hAnsi="Calibri"/>
                <w:kern w:val="0"/>
                <w:sz w:val="20"/>
                <w:szCs w:val="20"/>
                <w:lang w:val="pl-PL" w:eastAsia="zh-CN" w:bidi="hi-IN"/>
              </w:rPr>
              <w:t>umożliwiająca montaż w serwerowych szafach rackowych,</w:t>
            </w:r>
          </w:p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kern w:val="0"/>
                <w:sz w:val="20"/>
                <w:szCs w:val="20"/>
                <w:lang w:val="pl-PL" w:eastAsia="zh-CN" w:bidi="hi-IN"/>
              </w:rPr>
              <w:t>- dedykowane szyny montażowe typu rack o regulowanej głębokości szafy rackowej (o ile producent posiada takie w swojej ofercie),</w:t>
            </w:r>
          </w:p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kern w:val="0"/>
                <w:sz w:val="20"/>
                <w:szCs w:val="20"/>
                <w:lang w:val="pl-PL" w:eastAsia="zh-CN" w:bidi="hi-IN"/>
              </w:rPr>
              <w:t>- preferowane urządzenie zintegrowane o rozmiarze 1U - konsola (ekran z klawiaturą oraz touchpadem), ze zintegrowanym przełącznikiem lub urządzenie dzielone - złożone osobno z konsoli oraz przełącznika (również montowanego w szafie rackowej) wraz z kompletem okablowania łączącym oba komponenty.</w:t>
            </w:r>
          </w:p>
        </w:tc>
        <w:tc>
          <w:tcPr>
            <w:tcW w:w="62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2</w:t>
            </w:r>
          </w:p>
        </w:tc>
        <w:tc>
          <w:tcPr>
            <w:tcW w:w="9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konsola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kern w:val="0"/>
                <w:sz w:val="20"/>
                <w:szCs w:val="20"/>
                <w:lang w:val="pl-PL" w:eastAsia="zh-CN" w:bidi="hi-IN"/>
              </w:rPr>
              <w:t>- ekran typu LCD o rozmiarze nie mniejszym niż 19” i rozdzielczości maksymalnej obrazu nie mniejszej niż 1280 x 1024,</w:t>
            </w:r>
          </w:p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kern w:val="0"/>
                <w:sz w:val="20"/>
                <w:szCs w:val="20"/>
                <w:lang w:val="pl-PL" w:eastAsia="zh-CN" w:bidi="hi-IN"/>
              </w:rPr>
              <w:t>- urządzenie musi posiadać wbudowaną klawiaturę z układem US (qwerty) oraz touchpad.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przełącznik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kern w:val="0"/>
                <w:sz w:val="20"/>
                <w:szCs w:val="20"/>
                <w:lang w:val="pl-PL" w:eastAsia="zh-CN" w:bidi="hi-IN"/>
              </w:rPr>
              <w:t>- możliwość podłączenia minimum ośmiu komputerów,</w:t>
            </w:r>
          </w:p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kern w:val="0"/>
                <w:sz w:val="20"/>
                <w:szCs w:val="20"/>
                <w:lang w:val="pl-PL" w:eastAsia="zh-CN" w:bidi="hi-IN"/>
              </w:rPr>
              <w:t>- obsługuje komputery z klawiaturą i myszką PS/2 oraz USB,</w:t>
            </w:r>
          </w:p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kern w:val="0"/>
                <w:sz w:val="20"/>
                <w:szCs w:val="20"/>
                <w:lang w:val="pl-PL" w:eastAsia="zh-CN" w:bidi="hi-IN"/>
              </w:rPr>
              <w:t>- obraz przesyłany z wykorzystaniem portu VGA/D-Sub 15-pin,</w:t>
            </w:r>
          </w:p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hot plug umożliwiający podpinanie i odpinanie komputerów beż wyłączania przełącznika.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okablowanie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kern w:val="0"/>
                <w:sz w:val="20"/>
                <w:szCs w:val="20"/>
                <w:lang w:val="pl-PL" w:eastAsia="zh-CN" w:bidi="hi-IN"/>
              </w:rPr>
              <w:t>- komplet okablowania do podłączenia ośmiu urządzeń z interfejsem zarówno USB jak i PS/2 lub uniwersalnych,</w:t>
            </w:r>
          </w:p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- komplet okablowania do zasilania urządzenia/urządzeń.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 w:eastAsia="NSimSun" w:cs="Lucida Sans"/>
                <w:kern w:val="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Gwarancja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 w:eastAsia="NSimSun" w:cs="Lucida Sans"/>
                <w:kern w:val="0"/>
                <w:lang w:val="pl-PL" w:eastAsia="zh-CN" w:bidi="hi-IN"/>
              </w:rPr>
            </w:pPr>
            <w:r>
              <w:rPr>
                <w:rFonts w:eastAsia="NSimSun" w:cs="Lucida Sans" w:ascii="Calibri" w:hAnsi="Calibri"/>
                <w:kern w:val="0"/>
                <w:sz w:val="20"/>
                <w:szCs w:val="20"/>
                <w:lang w:val="pl-PL" w:eastAsia="zh-CN" w:bidi="hi-IN"/>
              </w:rPr>
              <w:t>Minimum 24 miesiące</w:t>
            </w:r>
          </w:p>
        </w:tc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10.</w:t>
            </w:r>
          </w:p>
        </w:tc>
        <w:tc>
          <w:tcPr>
            <w:tcW w:w="135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Oprogramowanie Nakivo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Opis oprogramowania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przedłużenie wsparcia na posiadane przez zamawiającego oprogramowanie: Nakivo Backup &amp; Replication (Nakivo Backup &amp; Replication Pro Essentials for VMware &amp; Hyper-V)* lub równoważne o okres trzech lat.</w:t>
            </w:r>
          </w:p>
        </w:tc>
        <w:tc>
          <w:tcPr>
            <w:tcW w:w="62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1</w:t>
            </w:r>
          </w:p>
        </w:tc>
        <w:tc>
          <w:tcPr>
            <w:tcW w:w="9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Data wygaśnięcia wsparcia które posiada aktualnie zamawiający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14.12.2023 r.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11.</w:t>
            </w:r>
          </w:p>
        </w:tc>
        <w:tc>
          <w:tcPr>
            <w:tcW w:w="135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jc w:val="left"/>
              <w:rPr>
                <w:rFonts w:ascii="Calibri" w:hAnsi="Calibri"/>
              </w:rPr>
            </w:pPr>
            <w:r>
              <w:rPr>
                <w:rFonts w:cs="Calibri" w:ascii="Tahoma" w:hAnsi="Tahoma"/>
                <w:b w:val="false"/>
                <w:bCs w:val="false"/>
                <w:sz w:val="20"/>
                <w:szCs w:val="20"/>
              </w:rPr>
              <w:t>Oprogramowanie do wirtualizacji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rodzaj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Aktualizacja licencji posiadanego przez zamawiającego oprogramowania do wirtualizacji: VMware vSphere 7 Essentials Plus Kit for 3 hosts (Max 2 processors per host)* (VS7-ESP-KIT-C) lub równoważne, oraz Basic Support/Subscription for VMware vSphere 7 Essentials Plus Kit for 3 hosts (Max 2 processors per host) for 3 years* (VS7-ESP-KIT-3G-SSS-C) na okres trzech lat* lub równoważne</w:t>
            </w:r>
          </w:p>
        </w:tc>
        <w:tc>
          <w:tcPr>
            <w:tcW w:w="62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1</w:t>
            </w:r>
          </w:p>
        </w:tc>
        <w:tc>
          <w:tcPr>
            <w:tcW w:w="9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6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35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pacing w:lineRule="auto" w:line="360" w:before="0" w:after="160"/>
              <w:jc w:val="left"/>
              <w:rPr>
                <w:rFonts w:ascii="Calibri" w:hAnsi="Calibri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Informacje dodatkowe</w:t>
            </w:r>
          </w:p>
        </w:tc>
        <w:tc>
          <w:tcPr>
            <w:tcW w:w="36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W chwili obecnej Zamawiający posiada następujące wersje oprogramowania VMware vSphere 6 Essentials Plus Kit for 3 hosts (Max 2 processors per host) (VS6-ESP-KIT-C) - 1 oraz VMware vSphere 6 Essentials Plus Kit for 1 year Basic Support/Subscription (VS6-ESP-KIT-G-SSS-C). ID konta Urzędu: 750539097, Numer kontraktu 440942298.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103"/>
              <w:jc w:val="left"/>
              <w:rPr>
                <w:rFonts w:ascii="Calibri" w:hAnsi="Calibri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  <w:t>Zamawiający chce uzyskać efekt aktualizacji posiadanej licencji wraz z 3 letnim wsparciem  lub dostarczenia nowej licencji wraz z 3 letnim wsparciem</w:t>
            </w: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  <w:t>.</w:t>
            </w:r>
          </w:p>
        </w:tc>
        <w:tc>
          <w:tcPr>
            <w:tcW w:w="6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96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N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N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47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567" w:hRule="atLeast"/>
        </w:trPr>
        <w:tc>
          <w:tcPr>
            <w:tcW w:w="9068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8"/>
                <w:szCs w:val="28"/>
              </w:rPr>
            </w:pPr>
            <w:r>
              <w:rPr>
                <w:rFonts w:cs="Calibri" w:ascii="Calibri" w:hAnsi="Calibri"/>
                <w:b/>
                <w:bCs/>
                <w:sz w:val="28"/>
                <w:szCs w:val="28"/>
              </w:rPr>
              <w:t>SUMA (łączna wartość)</w:t>
            </w:r>
          </w:p>
        </w:tc>
        <w:tc>
          <w:tcPr>
            <w:tcW w:w="1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uppressAutoHyphens w:val="true"/>
              <w:snapToGrid w:val="false"/>
              <w:spacing w:lineRule="auto" w:line="360" w:before="0" w:after="160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eastAsia="SimSun" w:cs="Calibri"/>
                <w:b w:val="false"/>
                <w:b w:val="false"/>
                <w:bCs w:val="false"/>
                <w:kern w:val="0"/>
                <w:sz w:val="20"/>
                <w:szCs w:val="20"/>
              </w:rPr>
            </w:pPr>
            <w:r>
              <w:rPr>
                <w:rFonts w:eastAsia="SimSun" w:cs="Calibri" w:ascii="Calibri" w:hAnsi="Calibri"/>
                <w:b w:val="false"/>
                <w:bCs w:val="false"/>
                <w:kern w:val="0"/>
                <w:sz w:val="20"/>
                <w:szCs w:val="20"/>
              </w:rPr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kstpodstawowy31"/>
              <w:widowControl w:val="false"/>
              <w:snapToGrid w:val="false"/>
              <w:spacing w:lineRule="auto" w:line="276"/>
              <w:jc w:val="left"/>
              <w:rPr>
                <w:rFonts w:ascii="Calibri" w:hAnsi="Calibri" w:cs="Calibri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Calibri" w:ascii="Calibri" w:hAnsi="Calibri"/>
                <w:b w:val="false"/>
                <w:bCs w:val="false"/>
                <w:sz w:val="20"/>
                <w:szCs w:val="20"/>
              </w:rPr>
            </w:r>
          </w:p>
        </w:tc>
      </w:tr>
    </w:tbl>
    <w:p>
      <w:pPr>
        <w:pStyle w:val="Tekstpodstawowy31"/>
        <w:spacing w:lineRule="auto" w:line="276"/>
        <w:jc w:val="left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Tekstpodstawowy31"/>
        <w:numPr>
          <w:ilvl w:val="0"/>
          <w:numId w:val="0"/>
        </w:numPr>
        <w:spacing w:lineRule="auto" w:line="276"/>
        <w:ind w:left="720" w:hanging="0"/>
        <w:rPr>
          <w:sz w:val="26"/>
          <w:szCs w:val="26"/>
        </w:rPr>
      </w:pPr>
      <w:r>
        <w:rPr>
          <w:rFonts w:cs="Calibri" w:ascii="Calibri" w:hAnsi="Calibri"/>
          <w:color w:val="000000"/>
          <w:sz w:val="26"/>
          <w:szCs w:val="26"/>
        </w:rPr>
        <w:t>Uwaga: w przypadku rozbieżności w zadeklarowanym okresie gwarancji pomiędzy Formularzem ofertowym a Formularzem cenowym wiążący dla Wykonawcy będzie okres gwarancji zadeklarowany w Formularzu ofertowym.</w:t>
      </w:r>
    </w:p>
    <w:p>
      <w:pPr>
        <w:pStyle w:val="Tekstpodstawowy31"/>
        <w:numPr>
          <w:ilvl w:val="0"/>
          <w:numId w:val="0"/>
        </w:numPr>
        <w:spacing w:lineRule="auto" w:line="276"/>
        <w:ind w:left="720" w:hanging="0"/>
        <w:rPr>
          <w:rFonts w:ascii="Calibri" w:hAnsi="Calibri" w:cs="Calibri"/>
          <w:sz w:val="26"/>
          <w:szCs w:val="26"/>
        </w:rPr>
      </w:pPr>
      <w:r>
        <w:rPr>
          <w:rFonts w:cs="Calibri" w:ascii="Calibri" w:hAnsi="Calibri"/>
          <w:sz w:val="26"/>
          <w:szCs w:val="26"/>
        </w:rPr>
      </w:r>
    </w:p>
    <w:p>
      <w:pPr>
        <w:pStyle w:val="Normal"/>
        <w:numPr>
          <w:ilvl w:val="0"/>
          <w:numId w:val="0"/>
        </w:numPr>
        <w:spacing w:lineRule="auto" w:line="360" w:before="0" w:after="160"/>
        <w:ind w:left="720" w:hanging="0"/>
        <w:rPr>
          <w:rFonts w:ascii="Calibri" w:hAnsi="Calibri" w:eastAsia="Times New Roman" w:cs="Calibri"/>
          <w:b w:val="false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>* - użyte nazwy własne odpowiadają typowi sprzętu oraz oprogramowania aktualnie użytkowanego przez Zamawiającego i zgodnego z posiadanym pozostałym sprzętem i oprogramowaniem.</w:t>
      </w:r>
    </w:p>
    <w:p>
      <w:pPr>
        <w:pStyle w:val="Normal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360" w:before="0" w:after="160"/>
        <w:ind w:left="720" w:hanging="0"/>
        <w:jc w:val="left"/>
        <w:rPr>
          <w:rFonts w:ascii="Calibri" w:hAnsi="Calibri" w:eastAsia="Times New Roman" w:cs="Calibri"/>
          <w:b w:val="false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 xml:space="preserve">Warunki równoważności opisane zostały w Opisie przedmiotu zamówienia stanowiącym załącznik nr 9 do SWZ. </w:t>
      </w:r>
    </w:p>
    <w:p>
      <w:pPr>
        <w:pStyle w:val="Normal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360" w:before="0" w:after="160"/>
        <w:ind w:left="720" w:hanging="0"/>
        <w:jc w:val="left"/>
        <w:rPr>
          <w:rFonts w:ascii="Calibri" w:hAnsi="Calibri" w:eastAsia="Times New Roman" w:cs="Calibri"/>
          <w:b w:val="false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 xml:space="preserve">Nie spełnienie chociażby jednego z wymaganych parametrów, określonych w poszczególnych punktach tabeli skutkować będzie odrzuceniem oferty. </w:t>
      </w:r>
    </w:p>
    <w:p>
      <w:pPr>
        <w:pStyle w:val="Normal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360" w:before="0" w:after="160"/>
        <w:ind w:left="720" w:hanging="0"/>
        <w:jc w:val="left"/>
        <w:rPr>
          <w:rFonts w:ascii="Calibri" w:hAnsi="Calibri" w:eastAsia="Times New Roman" w:cs="Calibri"/>
          <w:b w:val="false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360" w:before="0" w:after="160"/>
        <w:ind w:left="737" w:right="0" w:firstLine="6633"/>
        <w:jc w:val="left"/>
        <w:rPr>
          <w:rFonts w:ascii="Calibri" w:hAnsi="Calibri" w:eastAsia="Times New Roman" w:cs="Calibri"/>
          <w:b w:val="false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>……………………………………………………………………</w:t>
      </w: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>.</w:t>
      </w:r>
    </w:p>
    <w:p>
      <w:pPr>
        <w:pStyle w:val="Normal"/>
        <w:widowControl/>
        <w:numPr>
          <w:ilvl w:val="0"/>
          <w:numId w:val="0"/>
        </w:numPr>
        <w:suppressAutoHyphens w:val="true"/>
        <w:overflowPunct w:val="false"/>
        <w:bidi w:val="0"/>
        <w:spacing w:lineRule="auto" w:line="360" w:before="0" w:after="160"/>
        <w:ind w:left="7370" w:right="0" w:hanging="0"/>
        <w:jc w:val="left"/>
        <w:rPr>
          <w:rFonts w:ascii="Calibri" w:hAnsi="Calibri" w:eastAsia="Times New Roman" w:cs="Calibri"/>
          <w:b w:val="false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</w:pPr>
      <w:r>
        <w:rPr>
          <w:rFonts w:eastAsia="Times New Roman" w:cs="Calibri" w:ascii="Calibri" w:hAnsi="Calibri"/>
          <w:b w:val="false"/>
          <w:bCs w:val="false"/>
          <w:color w:val="auto"/>
          <w:kern w:val="0"/>
          <w:sz w:val="26"/>
          <w:szCs w:val="26"/>
          <w:lang w:val="pl-PL" w:eastAsia="zh-CN" w:bidi="ar-SA"/>
        </w:rPr>
        <w:t>Podpis(y) osób uprawnionych do składania oświadczeń woli w imieniu Wykonawcy  (</w:t>
      </w:r>
      <w:bookmarkStart w:id="4" w:name="_Hlk102639179"/>
      <w:r>
        <w:rPr>
          <w:rFonts w:eastAsia="Times New Roman" w:cs="Calibri" w:ascii="Calibri" w:hAnsi="Calibri"/>
          <w:b w:val="false"/>
          <w:bCs w:val="false"/>
          <w:i/>
          <w:color w:val="auto"/>
          <w:kern w:val="0"/>
          <w:sz w:val="26"/>
          <w:szCs w:val="26"/>
          <w:lang w:val="pl-PL" w:eastAsia="zh-CN" w:bidi="ar-SA"/>
        </w:rPr>
        <w:t xml:space="preserve">kwalifikowany podpis elektroniczny </w:t>
      </w:r>
      <w:bookmarkEnd w:id="4"/>
      <w:r>
        <w:rPr>
          <w:rFonts w:eastAsia="Times New Roman" w:cs="Calibri" w:ascii="Calibri" w:hAnsi="Calibri"/>
          <w:b w:val="false"/>
          <w:bCs w:val="false"/>
          <w:i/>
          <w:color w:val="auto"/>
          <w:kern w:val="0"/>
          <w:sz w:val="26"/>
          <w:szCs w:val="26"/>
          <w:lang w:val="pl-PL" w:eastAsia="zh-CN" w:bidi="ar-SA"/>
        </w:rPr>
        <w:t>)</w:t>
      </w:r>
    </w:p>
    <w:sectPr>
      <w:headerReference w:type="default" r:id="rId2"/>
      <w:footerReference w:type="default" r:id="rId3"/>
      <w:type w:val="nextPage"/>
      <w:pgSz w:orient="landscape" w:w="16838" w:h="11906"/>
      <w:pgMar w:left="1418" w:right="1418" w:gutter="0" w:header="1418" w:top="1475" w:footer="709" w:bottom="76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Wingdings">
    <w:charset w:val="ee"/>
    <w:family w:val="roman"/>
    <w:pitch w:val="variable"/>
  </w:font>
  <w:font w:name="Symbol">
    <w:charset w:val="ee"/>
    <w:family w:val="roman"/>
    <w:pitch w:val="variable"/>
  </w:font>
  <w:font w:name="Tahoma">
    <w:charset w:val="ee"/>
    <w:family w:val="roman"/>
    <w:pitch w:val="variable"/>
  </w:font>
  <w:font w:name="Courier New"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Calibri">
    <w:charset w:val="ee"/>
    <w:family w:val="roman"/>
    <w:pitch w:val="variable"/>
  </w:font>
  <w:font w:name="ArialMT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ind w:left="0" w:right="360" w:hanging="0"/>
      <w:rPr/>
    </w:pPr>
    <w:r>
      <w:rPr/>
      <mc:AlternateContent>
        <mc:Choice Requires="wps">
          <w:drawing>
            <wp:anchor behindDoc="1" distT="0" distB="635" distL="0" distR="0" simplePos="0" locked="0" layoutInCell="0" allowOverlap="1" relativeHeight="30">
              <wp:simplePos x="0" y="0"/>
              <wp:positionH relativeFrom="column">
                <wp:posOffset>8408035</wp:posOffset>
              </wp:positionH>
              <wp:positionV relativeFrom="paragraph">
                <wp:posOffset>88900</wp:posOffset>
              </wp:positionV>
              <wp:extent cx="550545" cy="397510"/>
              <wp:effectExtent l="0" t="0" r="0" b="0"/>
              <wp:wrapSquare wrapText="largest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50080" cy="396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rPr/>
                          </w:pPr>
                          <w:r>
                            <w:rPr>
                              <w:rStyle w:val="Numerstron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Numerstron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stron"/>
                              <w:color w:val="000000"/>
                            </w:rPr>
                            <w:t>15</w:t>
                          </w:r>
                          <w:r>
                            <w:rPr>
                              <w:rStyle w:val="Numerstron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1800" rIns="1800" tIns="1800" bIns="18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path="m0,0l-2147483645,0l-2147483645,-2147483646l0,-2147483646xe" stroked="f" o:allowincell="f" style="position:absolute;margin-left:662.05pt;margin-top:7pt;width:43.25pt;height:31.2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opka"/>
                      <w:rPr/>
                    </w:pPr>
                    <w:r>
                      <w:rPr>
                        <w:rStyle w:val="Numerstron"/>
                        <w:color w:val="000000"/>
                      </w:rPr>
                      <w:fldChar w:fldCharType="begin"/>
                    </w:r>
                    <w:r>
                      <w:rPr>
                        <w:rStyle w:val="Numerstron"/>
                        <w:color w:val="000000"/>
                      </w:rPr>
                      <w:instrText> PAGE </w:instrText>
                    </w:r>
                    <w:r>
                      <w:rPr>
                        <w:rStyle w:val="Numerstron"/>
                        <w:color w:val="000000"/>
                      </w:rPr>
                      <w:fldChar w:fldCharType="separate"/>
                    </w:r>
                    <w:r>
                      <w:rPr>
                        <w:rStyle w:val="Numerstron"/>
                        <w:color w:val="000000"/>
                      </w:rPr>
                      <w:t>15</w:t>
                    </w:r>
                    <w:r>
                      <w:rPr>
                        <w:rStyle w:val="Numerstron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lang w:val="pl-PL" w:eastAsia="pl-PL"/>
      </w:rPr>
    </w:pPr>
    <w:r>
      <w:drawing>
        <wp:anchor behindDoc="1" distT="0" distB="0" distL="114935" distR="114935" simplePos="0" locked="0" layoutInCell="0" allowOverlap="1" relativeHeight="46">
          <wp:simplePos x="0" y="0"/>
          <wp:positionH relativeFrom="margin">
            <wp:align>center</wp:align>
          </wp:positionH>
          <wp:positionV relativeFrom="margin">
            <wp:posOffset>-938530</wp:posOffset>
          </wp:positionV>
          <wp:extent cx="5759450" cy="594995"/>
          <wp:effectExtent l="0" t="0" r="0" b="0"/>
          <wp:wrapTopAndBottom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" t="-118" r="-12" b="-118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94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MT" w:hAnsi="ArialMT"/>
        <w:sz w:val="20"/>
        <w:lang w:val="pl-PL" w:eastAsia="pl-PL"/>
      </w:rPr>
      <w:t>Sfinansowano w ramach reakcji Unii na pandemię COVID-19</w:t>
    </w:r>
  </w:p>
  <w:p>
    <w:pPr>
      <w:pStyle w:val="Normal"/>
      <w:jc w:val="center"/>
      <w:rPr>
        <w:sz w:val="12"/>
        <w:szCs w:val="12"/>
      </w:rPr>
    </w:pPr>
    <w:r>
      <w:rPr>
        <w:sz w:val="12"/>
        <w:szCs w:val="12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ExpandShiftReturn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semiHidden="0" w:unhideWhenUsed="0" w:qFormat="1"/>
    <w:lsdException w:name="heading 5" w:uiPriority="0" w:qFormat="1"/>
    <w:lsdException w:name="heading 6" w:uiPriority="0" w:qFormat="1"/>
    <w:lsdException w:name="heading 7" w:uiPriority="0" w:semiHidden="0" w:unhideWhenUsed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 w:qFormat="1"/>
    <w:lsdException w:name="annotation text" w:uiPriority="0" w:semiHidden="0" w:unhideWhenUsed="0"/>
    <w:lsdException w:name="header" w:uiPriority="0" w:semiHidden="0" w:unhideWhenUsed="0" w:qFormat="1"/>
    <w:lsdException w:name="footer" w:uiPriority="0" w:semiHidden="0" w:unhideWhenUsed="0" w:qFormat="1"/>
    <w:lsdException w:name="index heading" w:uiPriority="0" w:semiHidden="0" w:unhideWhenUsed="0"/>
    <w:lsdException w:name="caption" w:uiPriority="0" w:semiHidden="0" w:unhideWhenUsed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zh-CN" w:bidi="ar-SA"/>
    </w:rPr>
  </w:style>
  <w:style w:type="paragraph" w:styleId="Nagwek1">
    <w:name w:val="Heading 1"/>
    <w:basedOn w:val="Normal"/>
    <w:next w:val="Normal"/>
    <w:uiPriority w:val="0"/>
    <w:qFormat/>
    <w:pPr>
      <w:keepNext w:val="true"/>
      <w:ind w:left="1416" w:right="0" w:firstLine="708"/>
      <w:jc w:val="center"/>
      <w:outlineLvl w:val="0"/>
    </w:pPr>
    <w:rPr>
      <w:b/>
      <w:sz w:val="32"/>
    </w:rPr>
  </w:style>
  <w:style w:type="paragraph" w:styleId="Nagwek4">
    <w:name w:val="Heading 4"/>
    <w:basedOn w:val="Normal"/>
    <w:next w:val="Normal"/>
    <w:uiPriority w:val="0"/>
    <w:qFormat/>
    <w:pPr>
      <w:keepNext w:val="true"/>
      <w:tabs>
        <w:tab w:val="clear" w:pos="708"/>
        <w:tab w:val="left" w:pos="720" w:leader="none"/>
      </w:tabs>
      <w:ind w:left="720" w:right="0" w:hanging="720"/>
      <w:jc w:val="both"/>
      <w:outlineLvl w:val="3"/>
    </w:pPr>
    <w:rPr>
      <w:b/>
      <w:sz w:val="28"/>
    </w:rPr>
  </w:style>
  <w:style w:type="paragraph" w:styleId="Nagwek7">
    <w:name w:val="Heading 7"/>
    <w:basedOn w:val="Normal"/>
    <w:next w:val="Normal"/>
    <w:uiPriority w:val="0"/>
    <w:qFormat/>
    <w:pPr>
      <w:spacing w:before="240" w:after="60"/>
      <w:outlineLvl w:val="6"/>
    </w:pPr>
    <w:rPr>
      <w:sz w:val="24"/>
      <w:szCs w:val="24"/>
    </w:rPr>
  </w:style>
  <w:style w:type="character" w:styleId="DefaultParagraphFont" w:default="1">
    <w:name w:val="Default Paragraph Font"/>
    <w:uiPriority w:val="0"/>
    <w:semiHidden/>
    <w:qFormat/>
    <w:rPr/>
  </w:style>
  <w:style w:type="character" w:styleId="WW8Num1z0" w:customStyle="1">
    <w:name w:val="WW8Num1z0"/>
    <w:uiPriority w:val="0"/>
    <w:qFormat/>
    <w:rPr>
      <w:rFonts w:ascii="Wingdings" w:hAnsi="Wingdings" w:cs="Wingdings"/>
    </w:rPr>
  </w:style>
  <w:style w:type="character" w:styleId="WW8Num2z0" w:customStyle="1">
    <w:name w:val="WW8Num2z0"/>
    <w:uiPriority w:val="0"/>
    <w:qFormat/>
    <w:rPr>
      <w:rFonts w:ascii="Wingdings" w:hAnsi="Wingdings" w:cs="Wingdings"/>
    </w:rPr>
  </w:style>
  <w:style w:type="character" w:styleId="WW8Num4z0" w:customStyle="1">
    <w:name w:val="WW8Num4z0"/>
    <w:uiPriority w:val="0"/>
    <w:qFormat/>
    <w:rPr>
      <w:rFonts w:ascii="Symbol" w:hAnsi="Symbol" w:cs="Symbol"/>
      <w:sz w:val="20"/>
    </w:rPr>
  </w:style>
  <w:style w:type="character" w:styleId="WW8Num4z1" w:customStyle="1">
    <w:name w:val="WW8Num4z1"/>
    <w:uiPriority w:val="0"/>
    <w:qFormat/>
    <w:rPr>
      <w:rFonts w:ascii="Tahoma" w:hAnsi="Tahoma" w:cs="Tahoma"/>
      <w:sz w:val="22"/>
    </w:rPr>
  </w:style>
  <w:style w:type="character" w:styleId="WW8Num7z0" w:customStyle="1">
    <w:name w:val="WW8Num7z0"/>
    <w:uiPriority w:val="0"/>
    <w:qFormat/>
    <w:rPr>
      <w:rFonts w:ascii="Symbol" w:hAnsi="Symbol" w:cs="Symbol"/>
    </w:rPr>
  </w:style>
  <w:style w:type="character" w:styleId="WW8Num7z1" w:customStyle="1">
    <w:name w:val="WW8Num7z1"/>
    <w:uiPriority w:val="0"/>
    <w:qFormat/>
    <w:rPr>
      <w:rFonts w:ascii="Courier New" w:hAnsi="Courier New" w:cs="Courier New"/>
    </w:rPr>
  </w:style>
  <w:style w:type="character" w:styleId="WW8Num7z2" w:customStyle="1">
    <w:name w:val="WW8Num7z2"/>
    <w:uiPriority w:val="0"/>
    <w:qFormat/>
    <w:rPr>
      <w:rFonts w:ascii="Wingdings" w:hAnsi="Wingdings" w:cs="Wingdings"/>
    </w:rPr>
  </w:style>
  <w:style w:type="character" w:styleId="WW8Num8z0" w:customStyle="1">
    <w:name w:val="WW8Num8z0"/>
    <w:uiPriority w:val="0"/>
    <w:qFormat/>
    <w:rPr>
      <w:rFonts w:ascii="Symbol" w:hAnsi="Symbol" w:cs="Symbol"/>
    </w:rPr>
  </w:style>
  <w:style w:type="character" w:styleId="WW8Num8z1" w:customStyle="1">
    <w:name w:val="WW8Num8z1"/>
    <w:uiPriority w:val="0"/>
    <w:qFormat/>
    <w:rPr>
      <w:rFonts w:ascii="Courier New" w:hAnsi="Courier New" w:cs="Courier New"/>
    </w:rPr>
  </w:style>
  <w:style w:type="character" w:styleId="WW8Num8z2" w:customStyle="1">
    <w:name w:val="WW8Num8z2"/>
    <w:uiPriority w:val="0"/>
    <w:qFormat/>
    <w:rPr>
      <w:rFonts w:ascii="Wingdings" w:hAnsi="Wingdings" w:cs="Wingdings"/>
    </w:rPr>
  </w:style>
  <w:style w:type="character" w:styleId="WW8Num9z0" w:customStyle="1">
    <w:name w:val="WW8Num9z0"/>
    <w:uiPriority w:val="0"/>
    <w:qFormat/>
    <w:rPr>
      <w:rFonts w:ascii="Symbol" w:hAnsi="Symbol" w:cs="Symbol"/>
    </w:rPr>
  </w:style>
  <w:style w:type="character" w:styleId="WW8Num9z1" w:customStyle="1">
    <w:name w:val="WW8Num9z1"/>
    <w:uiPriority w:val="0"/>
    <w:qFormat/>
    <w:rPr>
      <w:rFonts w:ascii="Courier New" w:hAnsi="Courier New" w:cs="Courier New"/>
    </w:rPr>
  </w:style>
  <w:style w:type="character" w:styleId="WW8Num9z2" w:customStyle="1">
    <w:name w:val="WW8Num9z2"/>
    <w:uiPriority w:val="0"/>
    <w:qFormat/>
    <w:rPr>
      <w:rFonts w:ascii="Wingdings" w:hAnsi="Wingdings" w:cs="Wingdings"/>
    </w:rPr>
  </w:style>
  <w:style w:type="character" w:styleId="WW8Num10z0" w:customStyle="1">
    <w:name w:val="WW8Num10z0"/>
    <w:uiPriority w:val="0"/>
    <w:qFormat/>
    <w:rPr>
      <w:rFonts w:ascii="Courier New" w:hAnsi="Courier New" w:cs="Courier New"/>
    </w:rPr>
  </w:style>
  <w:style w:type="character" w:styleId="WW8Num10z2" w:customStyle="1">
    <w:name w:val="WW8Num10z2"/>
    <w:uiPriority w:val="0"/>
    <w:qFormat/>
    <w:rPr>
      <w:rFonts w:ascii="Wingdings" w:hAnsi="Wingdings" w:cs="Wingdings"/>
    </w:rPr>
  </w:style>
  <w:style w:type="character" w:styleId="WW8Num10z3" w:customStyle="1">
    <w:name w:val="WW8Num10z3"/>
    <w:uiPriority w:val="0"/>
    <w:qFormat/>
    <w:rPr>
      <w:rFonts w:ascii="Symbol" w:hAnsi="Symbol" w:cs="Symbol"/>
    </w:rPr>
  </w:style>
  <w:style w:type="character" w:styleId="WW8Num11z0" w:customStyle="1">
    <w:name w:val="WW8Num11z0"/>
    <w:uiPriority w:val="0"/>
    <w:qFormat/>
    <w:rPr/>
  </w:style>
  <w:style w:type="character" w:styleId="WW8Num11z1" w:customStyle="1">
    <w:name w:val="WW8Num11z1"/>
    <w:uiPriority w:val="0"/>
    <w:qFormat/>
    <w:rPr>
      <w:rFonts w:ascii="Courier New" w:hAnsi="Courier New" w:cs="Courier New"/>
    </w:rPr>
  </w:style>
  <w:style w:type="character" w:styleId="WW8Num11z2" w:customStyle="1">
    <w:name w:val="WW8Num11z2"/>
    <w:uiPriority w:val="0"/>
    <w:qFormat/>
    <w:rPr>
      <w:rFonts w:ascii="Wingdings" w:hAnsi="Wingdings" w:cs="Wingdings"/>
    </w:rPr>
  </w:style>
  <w:style w:type="character" w:styleId="WW8Num11z3" w:customStyle="1">
    <w:name w:val="WW8Num11z3"/>
    <w:uiPriority w:val="0"/>
    <w:qFormat/>
    <w:rPr>
      <w:rFonts w:ascii="Symbol" w:hAnsi="Symbol" w:cs="Symbol"/>
    </w:rPr>
  </w:style>
  <w:style w:type="character" w:styleId="WW8Num13z0" w:customStyle="1">
    <w:name w:val="WW8Num13z0"/>
    <w:uiPriority w:val="0"/>
    <w:qFormat/>
    <w:rPr>
      <w:rFonts w:ascii="Symbol" w:hAnsi="Symbol" w:cs="Symbol"/>
    </w:rPr>
  </w:style>
  <w:style w:type="character" w:styleId="WW8Num13z1" w:customStyle="1">
    <w:name w:val="WW8Num13z1"/>
    <w:uiPriority w:val="0"/>
    <w:qFormat/>
    <w:rPr>
      <w:rFonts w:ascii="Courier New" w:hAnsi="Courier New" w:cs="Courier New"/>
    </w:rPr>
  </w:style>
  <w:style w:type="character" w:styleId="WW8Num13z2" w:customStyle="1">
    <w:name w:val="WW8Num13z2"/>
    <w:uiPriority w:val="0"/>
    <w:qFormat/>
    <w:rPr>
      <w:rFonts w:ascii="Wingdings" w:hAnsi="Wingdings" w:cs="Wingdings"/>
    </w:rPr>
  </w:style>
  <w:style w:type="character" w:styleId="WW8Num15z0" w:customStyle="1">
    <w:name w:val="WW8Num15z0"/>
    <w:uiPriority w:val="0"/>
    <w:qFormat/>
    <w:rPr>
      <w:rFonts w:ascii="Symbol" w:hAnsi="Symbol" w:cs="Symbol"/>
    </w:rPr>
  </w:style>
  <w:style w:type="character" w:styleId="WW8Num15z1" w:customStyle="1">
    <w:name w:val="WW8Num15z1"/>
    <w:uiPriority w:val="0"/>
    <w:qFormat/>
    <w:rPr>
      <w:rFonts w:ascii="Courier New" w:hAnsi="Courier New" w:cs="Courier New"/>
    </w:rPr>
  </w:style>
  <w:style w:type="character" w:styleId="WW8Num15z2" w:customStyle="1">
    <w:name w:val="WW8Num15z2"/>
    <w:uiPriority w:val="0"/>
    <w:qFormat/>
    <w:rPr>
      <w:rFonts w:ascii="Wingdings" w:hAnsi="Wingdings" w:cs="Wingdings"/>
    </w:rPr>
  </w:style>
  <w:style w:type="character" w:styleId="WW8Num16z0" w:customStyle="1">
    <w:name w:val="WW8Num16z0"/>
    <w:uiPriority w:val="0"/>
    <w:qFormat/>
    <w:rPr>
      <w:rFonts w:ascii="Symbol" w:hAnsi="Symbol" w:cs="Symbol"/>
    </w:rPr>
  </w:style>
  <w:style w:type="character" w:styleId="WW8Num17z0" w:customStyle="1">
    <w:name w:val="WW8Num17z0"/>
    <w:uiPriority w:val="0"/>
    <w:qFormat/>
    <w:rPr>
      <w:rFonts w:ascii="Symbol" w:hAnsi="Symbol" w:cs="Symbol"/>
    </w:rPr>
  </w:style>
  <w:style w:type="character" w:styleId="WW8Num17z1" w:customStyle="1">
    <w:name w:val="WW8Num17z1"/>
    <w:uiPriority w:val="0"/>
    <w:qFormat/>
    <w:rPr>
      <w:rFonts w:ascii="Courier New" w:hAnsi="Courier New" w:cs="Courier New"/>
    </w:rPr>
  </w:style>
  <w:style w:type="character" w:styleId="WW8Num17z2" w:customStyle="1">
    <w:name w:val="WW8Num17z2"/>
    <w:uiPriority w:val="0"/>
    <w:qFormat/>
    <w:rPr>
      <w:rFonts w:ascii="Wingdings" w:hAnsi="Wingdings" w:cs="Wingdings"/>
    </w:rPr>
  </w:style>
  <w:style w:type="character" w:styleId="WW8Num18z0" w:customStyle="1">
    <w:name w:val="WW8Num18z0"/>
    <w:uiPriority w:val="0"/>
    <w:qFormat/>
    <w:rPr>
      <w:rFonts w:ascii="Times New Roman" w:hAnsi="Times New Roman" w:eastAsia="Times New Roman" w:cs="Times New Roman"/>
    </w:rPr>
  </w:style>
  <w:style w:type="character" w:styleId="WW8Num18z1" w:customStyle="1">
    <w:name w:val="WW8Num18z1"/>
    <w:uiPriority w:val="0"/>
    <w:qFormat/>
    <w:rPr>
      <w:rFonts w:ascii="Courier New" w:hAnsi="Courier New" w:cs="Courier New"/>
    </w:rPr>
  </w:style>
  <w:style w:type="character" w:styleId="WW8Num18z2" w:customStyle="1">
    <w:name w:val="WW8Num18z2"/>
    <w:uiPriority w:val="0"/>
    <w:qFormat/>
    <w:rPr>
      <w:rFonts w:ascii="Wingdings" w:hAnsi="Wingdings" w:cs="Wingdings"/>
    </w:rPr>
  </w:style>
  <w:style w:type="character" w:styleId="WW8Num18z3" w:customStyle="1">
    <w:name w:val="WW8Num18z3"/>
    <w:uiPriority w:val="0"/>
    <w:qFormat/>
    <w:rPr>
      <w:rFonts w:ascii="Symbol" w:hAnsi="Symbol" w:cs="Symbol"/>
    </w:rPr>
  </w:style>
  <w:style w:type="character" w:styleId="WW8Num19z2" w:customStyle="1">
    <w:name w:val="WW8Num19z2"/>
    <w:uiPriority w:val="0"/>
    <w:qFormat/>
    <w:rPr>
      <w:rFonts w:ascii="Symbol" w:hAnsi="Symbol" w:cs="Symbol"/>
    </w:rPr>
  </w:style>
  <w:style w:type="character" w:styleId="WW8Num20z0" w:customStyle="1">
    <w:name w:val="WW8Num20z0"/>
    <w:uiPriority w:val="0"/>
    <w:qFormat/>
    <w:rPr>
      <w:rFonts w:ascii="Symbol" w:hAnsi="Symbol" w:cs="Symbol"/>
    </w:rPr>
  </w:style>
  <w:style w:type="character" w:styleId="WW8Num20z1" w:customStyle="1">
    <w:name w:val="WW8Num20z1"/>
    <w:uiPriority w:val="0"/>
    <w:qFormat/>
    <w:rPr>
      <w:rFonts w:ascii="Courier New" w:hAnsi="Courier New" w:cs="Courier New"/>
    </w:rPr>
  </w:style>
  <w:style w:type="character" w:styleId="WW8Num20z2" w:customStyle="1">
    <w:name w:val="WW8Num20z2"/>
    <w:uiPriority w:val="0"/>
    <w:qFormat/>
    <w:rPr>
      <w:rFonts w:ascii="Wingdings" w:hAnsi="Wingdings" w:cs="Wingdings"/>
    </w:rPr>
  </w:style>
  <w:style w:type="character" w:styleId="WW8Num21z0" w:customStyle="1">
    <w:name w:val="WW8Num21z0"/>
    <w:uiPriority w:val="0"/>
    <w:qFormat/>
    <w:rPr>
      <w:rFonts w:ascii="Symbol" w:hAnsi="Symbol" w:cs="Symbol"/>
    </w:rPr>
  </w:style>
  <w:style w:type="character" w:styleId="WW8Num21z1" w:customStyle="1">
    <w:name w:val="WW8Num21z1"/>
    <w:uiPriority w:val="0"/>
    <w:qFormat/>
    <w:rPr>
      <w:rFonts w:ascii="Courier New" w:hAnsi="Courier New" w:cs="Courier New"/>
    </w:rPr>
  </w:style>
  <w:style w:type="character" w:styleId="WW8Num21z2" w:customStyle="1">
    <w:name w:val="WW8Num21z2"/>
    <w:uiPriority w:val="0"/>
    <w:qFormat/>
    <w:rPr>
      <w:rFonts w:ascii="Wingdings" w:hAnsi="Wingdings" w:cs="Wingdings"/>
    </w:rPr>
  </w:style>
  <w:style w:type="character" w:styleId="WW8Num22z0" w:customStyle="1">
    <w:name w:val="WW8Num22z0"/>
    <w:uiPriority w:val="0"/>
    <w:qFormat/>
    <w:rPr>
      <w:rFonts w:ascii="Courier New" w:hAnsi="Courier New" w:cs="Courier New"/>
    </w:rPr>
  </w:style>
  <w:style w:type="character" w:styleId="WW8Num22z2" w:customStyle="1">
    <w:name w:val="WW8Num22z2"/>
    <w:uiPriority w:val="0"/>
    <w:qFormat/>
    <w:rPr>
      <w:rFonts w:ascii="Wingdings" w:hAnsi="Wingdings" w:cs="Wingdings"/>
    </w:rPr>
  </w:style>
  <w:style w:type="character" w:styleId="WW8Num22z3" w:customStyle="1">
    <w:name w:val="WW8Num22z3"/>
    <w:uiPriority w:val="0"/>
    <w:qFormat/>
    <w:rPr>
      <w:rFonts w:ascii="Symbol" w:hAnsi="Symbol" w:cs="Symbol"/>
    </w:rPr>
  </w:style>
  <w:style w:type="character" w:styleId="WW8Num23z0" w:customStyle="1">
    <w:name w:val="WW8Num23z0"/>
    <w:uiPriority w:val="0"/>
    <w:qFormat/>
    <w:rPr>
      <w:rFonts w:ascii="Symbol" w:hAnsi="Symbol" w:cs="Symbol"/>
    </w:rPr>
  </w:style>
  <w:style w:type="character" w:styleId="WW8Num23z1" w:customStyle="1">
    <w:name w:val="WW8Num23z1"/>
    <w:uiPriority w:val="0"/>
    <w:qFormat/>
    <w:rPr>
      <w:rFonts w:ascii="Courier New" w:hAnsi="Courier New" w:cs="Courier New"/>
    </w:rPr>
  </w:style>
  <w:style w:type="character" w:styleId="WW8Num23z2" w:customStyle="1">
    <w:name w:val="WW8Num23z2"/>
    <w:uiPriority w:val="0"/>
    <w:qFormat/>
    <w:rPr>
      <w:rFonts w:ascii="Wingdings" w:hAnsi="Wingdings" w:cs="Wingdings"/>
    </w:rPr>
  </w:style>
  <w:style w:type="character" w:styleId="WW8Num24z0" w:customStyle="1">
    <w:name w:val="WW8Num24z0"/>
    <w:uiPriority w:val="0"/>
    <w:qFormat/>
    <w:rPr>
      <w:rFonts w:ascii="Symbol" w:hAnsi="Symbol" w:cs="Symbol"/>
    </w:rPr>
  </w:style>
  <w:style w:type="character" w:styleId="WW8Num24z1" w:customStyle="1">
    <w:name w:val="WW8Num24z1"/>
    <w:uiPriority w:val="0"/>
    <w:qFormat/>
    <w:rPr>
      <w:rFonts w:ascii="Courier New" w:hAnsi="Courier New" w:cs="Courier New"/>
    </w:rPr>
  </w:style>
  <w:style w:type="character" w:styleId="WW8Num24z2" w:customStyle="1">
    <w:name w:val="WW8Num24z2"/>
    <w:uiPriority w:val="0"/>
    <w:qFormat/>
    <w:rPr>
      <w:rFonts w:ascii="Wingdings" w:hAnsi="Wingdings" w:cs="Wingdings"/>
    </w:rPr>
  </w:style>
  <w:style w:type="character" w:styleId="WW8Num25z0" w:customStyle="1">
    <w:name w:val="WW8Num25z0"/>
    <w:uiPriority w:val="0"/>
    <w:qFormat/>
    <w:rPr>
      <w:rFonts w:ascii="Symbol" w:hAnsi="Symbol" w:cs="Symbol"/>
    </w:rPr>
  </w:style>
  <w:style w:type="character" w:styleId="WW8Num25z1" w:customStyle="1">
    <w:name w:val="WW8Num25z1"/>
    <w:uiPriority w:val="0"/>
    <w:qFormat/>
    <w:rPr>
      <w:rFonts w:ascii="Courier New" w:hAnsi="Courier New" w:cs="Courier New"/>
    </w:rPr>
  </w:style>
  <w:style w:type="character" w:styleId="WW8Num25z2" w:customStyle="1">
    <w:name w:val="WW8Num25z2"/>
    <w:uiPriority w:val="0"/>
    <w:qFormat/>
    <w:rPr>
      <w:rFonts w:ascii="Wingdings" w:hAnsi="Wingdings" w:cs="Wingdings"/>
    </w:rPr>
  </w:style>
  <w:style w:type="character" w:styleId="WW8Num26z0" w:customStyle="1">
    <w:name w:val="WW8Num26z0"/>
    <w:uiPriority w:val="0"/>
    <w:qFormat/>
    <w:rPr>
      <w:rFonts w:ascii="Symbol" w:hAnsi="Symbol" w:eastAsia="Times New Roman" w:cs="Times New Roman"/>
    </w:rPr>
  </w:style>
  <w:style w:type="character" w:styleId="WW8Num26z1" w:customStyle="1">
    <w:name w:val="WW8Num26z1"/>
    <w:uiPriority w:val="0"/>
    <w:qFormat/>
    <w:rPr>
      <w:rFonts w:ascii="Courier New" w:hAnsi="Courier New" w:cs="Courier New"/>
    </w:rPr>
  </w:style>
  <w:style w:type="character" w:styleId="WW8Num26z2" w:customStyle="1">
    <w:name w:val="WW8Num26z2"/>
    <w:uiPriority w:val="0"/>
    <w:qFormat/>
    <w:rPr>
      <w:rFonts w:ascii="Wingdings" w:hAnsi="Wingdings" w:cs="Wingdings"/>
    </w:rPr>
  </w:style>
  <w:style w:type="character" w:styleId="WW8Num26z3" w:customStyle="1">
    <w:name w:val="WW8Num26z3"/>
    <w:uiPriority w:val="0"/>
    <w:qFormat/>
    <w:rPr>
      <w:rFonts w:ascii="Symbol" w:hAnsi="Symbol" w:cs="Symbol"/>
    </w:rPr>
  </w:style>
  <w:style w:type="character" w:styleId="WW8Num27z0" w:customStyle="1">
    <w:name w:val="WW8Num27z0"/>
    <w:uiPriority w:val="0"/>
    <w:qFormat/>
    <w:rPr>
      <w:rFonts w:ascii="Symbol" w:hAnsi="Symbol" w:cs="Symbol"/>
    </w:rPr>
  </w:style>
  <w:style w:type="character" w:styleId="WW8Num27z1" w:customStyle="1">
    <w:name w:val="WW8Num27z1"/>
    <w:uiPriority w:val="0"/>
    <w:qFormat/>
    <w:rPr>
      <w:rFonts w:ascii="Courier New" w:hAnsi="Courier New" w:cs="Courier New"/>
    </w:rPr>
  </w:style>
  <w:style w:type="character" w:styleId="WW8Num27z2" w:customStyle="1">
    <w:name w:val="WW8Num27z2"/>
    <w:uiPriority w:val="0"/>
    <w:qFormat/>
    <w:rPr>
      <w:rFonts w:ascii="Wingdings" w:hAnsi="Wingdings" w:cs="Wingdings"/>
    </w:rPr>
  </w:style>
  <w:style w:type="character" w:styleId="WW8Num28z0" w:customStyle="1">
    <w:name w:val="WW8Num28z0"/>
    <w:uiPriority w:val="0"/>
    <w:qFormat/>
    <w:rPr>
      <w:rFonts w:ascii="Symbol" w:hAnsi="Symbol" w:cs="Symbol"/>
    </w:rPr>
  </w:style>
  <w:style w:type="character" w:styleId="WW8Num28z1" w:customStyle="1">
    <w:name w:val="WW8Num28z1"/>
    <w:uiPriority w:val="0"/>
    <w:qFormat/>
    <w:rPr>
      <w:rFonts w:ascii="Courier New" w:hAnsi="Courier New" w:cs="Courier New"/>
    </w:rPr>
  </w:style>
  <w:style w:type="character" w:styleId="WW8Num28z2" w:customStyle="1">
    <w:name w:val="WW8Num28z2"/>
    <w:uiPriority w:val="0"/>
    <w:qFormat/>
    <w:rPr>
      <w:rFonts w:ascii="Wingdings" w:hAnsi="Wingdings" w:cs="Wingdings"/>
    </w:rPr>
  </w:style>
  <w:style w:type="character" w:styleId="WW8Num29z0" w:customStyle="1">
    <w:name w:val="WW8Num29z0"/>
    <w:uiPriority w:val="0"/>
    <w:qFormat/>
    <w:rPr/>
  </w:style>
  <w:style w:type="character" w:styleId="WW8Num29z1" w:customStyle="1">
    <w:name w:val="WW8Num29z1"/>
    <w:uiPriority w:val="0"/>
    <w:qFormat/>
    <w:rPr/>
  </w:style>
  <w:style w:type="character" w:styleId="Domylnaczcionkaakapitu" w:customStyle="1">
    <w:name w:val="Domyślna czcionka akapitu"/>
    <w:uiPriority w:val="0"/>
    <w:qFormat/>
    <w:rPr/>
  </w:style>
  <w:style w:type="character" w:styleId="AbsatzStandardschriftart" w:customStyle="1">
    <w:name w:val="Absatz-Standardschriftart"/>
    <w:uiPriority w:val="0"/>
    <w:qFormat/>
    <w:rPr/>
  </w:style>
  <w:style w:type="character" w:styleId="Domylnaczcionkaakapitu1" w:customStyle="1">
    <w:name w:val="Domyślna czcionka akapitu1"/>
    <w:uiPriority w:val="0"/>
    <w:qFormat/>
    <w:rPr/>
  </w:style>
  <w:style w:type="character" w:styleId="Numerstron" w:customStyle="1">
    <w:name w:val="Numer stron"/>
    <w:basedOn w:val="Domylnaczcionkaakapitu1"/>
    <w:uiPriority w:val="0"/>
    <w:rPr/>
  </w:style>
  <w:style w:type="character" w:styleId="Znakinumeracji" w:customStyle="1">
    <w:name w:val="Znaki numeracji"/>
    <w:uiPriority w:val="0"/>
    <w:qFormat/>
    <w:rPr/>
  </w:style>
  <w:style w:type="character" w:styleId="NagwekZnak" w:customStyle="1">
    <w:name w:val="Nagłówek Znak"/>
    <w:uiPriority w:val="0"/>
    <w:qFormat/>
    <w:rPr/>
  </w:style>
  <w:style w:type="character" w:styleId="TekstprzypisudolnegoZnak" w:customStyle="1">
    <w:name w:val="Tekst przypisu dolnego Znak"/>
    <w:uiPriority w:val="0"/>
    <w:qFormat/>
    <w:rPr>
      <w:rFonts w:eastAsia="Calibri"/>
      <w:lang w:val="pl-PL"/>
    </w:rPr>
  </w:style>
  <w:style w:type="character" w:styleId="DeltaViewInsertion" w:customStyle="1">
    <w:name w:val="DeltaView Insertion"/>
    <w:uiPriority w:val="0"/>
    <w:qFormat/>
    <w:rPr>
      <w:b/>
      <w:i/>
      <w:spacing w:val="0"/>
    </w:rPr>
  </w:style>
  <w:style w:type="character" w:styleId="Znakiprzypiswdolnych" w:customStyle="1">
    <w:name w:val="Znaki przypisów dolnych"/>
    <w:uiPriority w:val="0"/>
    <w:qFormat/>
    <w:rPr>
      <w:shd w:fill="auto" w:val="clear"/>
      <w:vertAlign w:val="superscript"/>
    </w:rPr>
  </w:style>
  <w:style w:type="character" w:styleId="TekstdymkaZnak" w:customStyle="1">
    <w:name w:val="Tekst dymka Znak"/>
    <w:uiPriority w:val="0"/>
    <w:qFormat/>
    <w:rPr>
      <w:rFonts w:ascii="Segoe UI" w:hAnsi="Segoe UI" w:cs="Segoe UI"/>
      <w:sz w:val="18"/>
      <w:szCs w:val="18"/>
    </w:rPr>
  </w:style>
  <w:style w:type="paragraph" w:styleId="Nagwek" w:customStyle="1">
    <w:name w:val="Nagłówek"/>
    <w:basedOn w:val="Normal"/>
    <w:next w:val="Podtytu"/>
    <w:uiPriority w:val="0"/>
    <w:qFormat/>
    <w:pPr>
      <w:jc w:val="center"/>
    </w:pPr>
    <w:rPr>
      <w:sz w:val="28"/>
    </w:rPr>
  </w:style>
  <w:style w:type="paragraph" w:styleId="Tretekstu">
    <w:name w:val="Body Text"/>
    <w:basedOn w:val="Normal"/>
    <w:uiPriority w:val="0"/>
    <w:pPr/>
    <w:rPr>
      <w:sz w:val="28"/>
    </w:rPr>
  </w:style>
  <w:style w:type="paragraph" w:styleId="Lista">
    <w:name w:val="List"/>
    <w:basedOn w:val="Tretekstu"/>
    <w:uiPriority w:val="0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uiPriority w:val="0"/>
    <w:qFormat/>
    <w:pPr>
      <w:suppressLineNumbers/>
    </w:pPr>
    <w:rPr>
      <w:rFonts w:cs="Tahoma"/>
    </w:rPr>
  </w:style>
  <w:style w:type="paragraph" w:styleId="Caption">
    <w:name w:val="caption"/>
    <w:basedOn w:val="Normal"/>
    <w:next w:val="Normal"/>
    <w:uiPriority w:val="0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Gwkaistopka" w:customStyle="1">
    <w:name w:val="Główka i stopka"/>
    <w:basedOn w:val="Normal"/>
    <w:uiPriority w:val="0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opka">
    <w:name w:val="Footer"/>
    <w:basedOn w:val="Normal"/>
    <w:uiPriority w:val="0"/>
    <w:qFormat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rzypisdolny">
    <w:name w:val="Footnote Text"/>
    <w:basedOn w:val="Normal"/>
    <w:uiPriority w:val="0"/>
    <w:qFormat/>
    <w:pPr>
      <w:suppressAutoHyphens w:val="false"/>
      <w:ind w:left="720" w:right="0" w:hanging="720"/>
      <w:jc w:val="both"/>
    </w:pPr>
    <w:rPr>
      <w:rFonts w:eastAsia="Calibri"/>
      <w:lang w:val="pl-PL"/>
    </w:rPr>
  </w:style>
  <w:style w:type="paragraph" w:styleId="Gwka">
    <w:name w:val="Header"/>
    <w:basedOn w:val="Normal"/>
    <w:uiPriority w:val="0"/>
    <w:qFormat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odtytu">
    <w:name w:val="Subtitle"/>
    <w:basedOn w:val="Nagwek11"/>
    <w:next w:val="Tretekstu"/>
    <w:uiPriority w:val="0"/>
    <w:qFormat/>
    <w:pPr>
      <w:jc w:val="center"/>
    </w:pPr>
    <w:rPr>
      <w:i/>
      <w:iCs/>
      <w:sz w:val="28"/>
      <w:szCs w:val="28"/>
    </w:rPr>
  </w:style>
  <w:style w:type="paragraph" w:styleId="Nagwek11" w:customStyle="1">
    <w:name w:val="Nagłówek1"/>
    <w:basedOn w:val="Normal"/>
    <w:next w:val="Tretekstu"/>
    <w:uiPriority w:val="0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ytu">
    <w:name w:val="Title"/>
    <w:basedOn w:val="Nagwek"/>
    <w:next w:val="Tretekstu"/>
    <w:uiPriority w:val="0"/>
    <w:qFormat/>
    <w:pPr>
      <w:jc w:val="center"/>
    </w:pPr>
    <w:rPr>
      <w:b/>
      <w:bCs/>
      <w:sz w:val="56"/>
      <w:szCs w:val="56"/>
    </w:rPr>
  </w:style>
  <w:style w:type="paragraph" w:styleId="Podpis1" w:customStyle="1">
    <w:name w:val="Podpis1"/>
    <w:basedOn w:val="Normal"/>
    <w:uiPriority w:val="0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kstpodstawowy21" w:customStyle="1">
    <w:name w:val="Tekst podstawowy 21"/>
    <w:basedOn w:val="Normal"/>
    <w:uiPriority w:val="0"/>
    <w:qFormat/>
    <w:pPr>
      <w:ind w:left="0" w:right="-142" w:hanging="0"/>
    </w:pPr>
    <w:rPr>
      <w:b/>
      <w:sz w:val="28"/>
    </w:rPr>
  </w:style>
  <w:style w:type="paragraph" w:styleId="Tekstpodstawowy31" w:customStyle="1">
    <w:name w:val="Tekst podstawowy 31"/>
    <w:basedOn w:val="Normal"/>
    <w:uiPriority w:val="0"/>
    <w:qFormat/>
    <w:pPr/>
    <w:rPr>
      <w:b/>
      <w:sz w:val="28"/>
    </w:rPr>
  </w:style>
  <w:style w:type="paragraph" w:styleId="Zawartoramki" w:customStyle="1">
    <w:name w:val="Zawartość ramki"/>
    <w:basedOn w:val="Tretekstu"/>
    <w:uiPriority w:val="0"/>
    <w:qFormat/>
    <w:pPr/>
    <w:rPr/>
  </w:style>
  <w:style w:type="paragraph" w:styleId="NormalnyWeb" w:customStyle="1">
    <w:name w:val="Normalny (Web)"/>
    <w:basedOn w:val="Normal"/>
    <w:uiPriority w:val="0"/>
    <w:qFormat/>
    <w:pPr>
      <w:suppressAutoHyphens w:val="false"/>
      <w:spacing w:before="100" w:after="100"/>
    </w:pPr>
    <w:rPr>
      <w:sz w:val="24"/>
      <w:szCs w:val="24"/>
    </w:rPr>
  </w:style>
  <w:style w:type="paragraph" w:styleId="Tekstdymka" w:customStyle="1">
    <w:name w:val="Tekst dymka"/>
    <w:basedOn w:val="Normal"/>
    <w:uiPriority w:val="0"/>
    <w:qFormat/>
    <w:pPr/>
    <w:rPr>
      <w:rFonts w:ascii="Segoe UI" w:hAnsi="Segoe UI" w:cs="Segoe UI"/>
      <w:sz w:val="18"/>
      <w:szCs w:val="18"/>
    </w:rPr>
  </w:style>
  <w:style w:type="paragraph" w:styleId="Akapitzlist" w:customStyle="1">
    <w:name w:val="Akapit z listą"/>
    <w:basedOn w:val="Normal"/>
    <w:uiPriority w:val="0"/>
    <w:qFormat/>
    <w:pPr>
      <w:spacing w:lineRule="exact" w:line="300" w:before="120" w:after="0"/>
      <w:ind w:left="720" w:right="0" w:hanging="0"/>
      <w:contextualSpacing/>
      <w:jc w:val="both"/>
    </w:pPr>
    <w:rPr>
      <w:sz w:val="24"/>
      <w:szCs w:val="24"/>
    </w:rPr>
  </w:style>
  <w:style w:type="paragraph" w:styleId="Zawartotabeli" w:customStyle="1">
    <w:name w:val="Zawartość tabeli"/>
    <w:basedOn w:val="Normal"/>
    <w:uiPriority w:val="0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uiPriority w:val="0"/>
    <w:qFormat/>
    <w:pPr>
      <w:suppressLineNumbers/>
      <w:jc w:val="center"/>
    </w:pPr>
    <w:rPr>
      <w:b/>
      <w:bCs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0" w:cs="Lucida Sans"/>
      <w:color w:val="000000"/>
      <w:kern w:val="2"/>
      <w:sz w:val="24"/>
      <w:szCs w:val="24"/>
      <w:lang w:val="pl-PL" w:eastAsia="zh-CN" w:bidi="hi-IN"/>
    </w:rPr>
  </w:style>
  <w:style w:type="table" w:default="1" w:styleId="6">
    <w:name w:val="Normal Table"/>
    <w:uiPriority w:val="0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888</TotalTime>
  <Application>LibreOffice/7.2.7.2$Windows_X86_64 LibreOffice_project/8d71d29d553c0f7dcbfa38fbfda25ee34cce99a2</Application>
  <AppVersion>15.0000</AppVersion>
  <Pages>15</Pages>
  <Words>1799</Words>
  <Characters>11422</Characters>
  <CharactersWithSpaces>13009</CharactersWithSpaces>
  <Paragraphs>231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Kuś</dc:creator>
  <dc:description/>
  <dc:language>pl-PL</dc:language>
  <cp:lastModifiedBy/>
  <dcterms:modified xsi:type="dcterms:W3CDTF">2022-07-08T12:53:13Z</dcterms:modified>
  <cp:revision>69</cp:revision>
  <dc:subject/>
  <dc:title>Znak sprawy: ZP/24/2006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12200F9FBBD64F1BB908D09807D03509</vt:lpwstr>
  </property>
  <property fmtid="{D5CDD505-2E9C-101B-9397-08002B2CF9AE}" pid="3" name="KSOProductBuildVer">
    <vt:lpwstr>1045-11.2.0.11156</vt:lpwstr>
  </property>
</Properties>
</file>