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DF" w:rsidRDefault="000329DF" w:rsidP="000329DF">
      <w:pPr>
        <w:pStyle w:val="Style4"/>
        <w:spacing w:after="0" w:line="240" w:lineRule="auto"/>
        <w:rPr>
          <w:rStyle w:val="CharStyle5"/>
          <w:color w:val="000000"/>
        </w:rPr>
      </w:pPr>
      <w:r>
        <w:rPr>
          <w:rStyle w:val="CharStyle5"/>
          <w:color w:val="000000"/>
        </w:rPr>
        <w:t>VÝKAZ VÝMER</w:t>
      </w: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9DF" w:rsidRDefault="000329DF" w:rsidP="000329DF">
      <w:pPr>
        <w:pStyle w:val="Style4"/>
        <w:spacing w:after="480" w:line="252" w:lineRule="auto"/>
        <w:rPr>
          <w:rStyle w:val="CharStyle32"/>
          <w:b w:val="0"/>
          <w:bCs w:val="0"/>
          <w:color w:val="000000"/>
        </w:rPr>
      </w:pPr>
      <w:r>
        <w:rPr>
          <w:rStyle w:val="CharStyle32"/>
          <w:color w:val="000000"/>
        </w:rPr>
        <w:t>„Oprava miestnych komunikácií v meste Malacky“</w:t>
      </w: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9DF" w:rsidRDefault="000329DF" w:rsidP="000329DF">
      <w:pPr>
        <w:pStyle w:val="Style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13"/>
        <w:gridCol w:w="275"/>
        <w:gridCol w:w="403"/>
        <w:gridCol w:w="1575"/>
        <w:gridCol w:w="1297"/>
        <w:gridCol w:w="2043"/>
      </w:tblGrid>
      <w:tr w:rsidR="000329DF" w:rsidTr="000329DF">
        <w:trPr>
          <w:trHeight w:val="1080"/>
        </w:trPr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bookmarkStart w:id="0" w:name="_Hlk65605234"/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 xml:space="preserve">Názov položky 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MJ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Predpokladané množstvo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Jednotková cena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Cena celkom v € bez DPH</w:t>
            </w: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C70F7E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Frézovanie 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alebo búranie </w:t>
            </w:r>
            <w:r>
              <w:rPr>
                <w:rFonts w:ascii="Tahoma" w:hAnsi="Tahoma" w:cs="Tahoma"/>
                <w:sz w:val="20"/>
                <w:szCs w:val="20"/>
              </w:rPr>
              <w:t>asfaltového krytu hr. 6 cm s odvozom na skládku</w:t>
            </w:r>
            <w:bookmarkStart w:id="1" w:name="_GoBack"/>
            <w:bookmarkEnd w:id="1"/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Ručné dobúranie betónu s odvozom na skládku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60,00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Spojovací postrek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Vyrovnanie povrchu </w:t>
            </w:r>
            <w:proofErr w:type="spellStart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asf</w:t>
            </w:r>
            <w:proofErr w:type="spellEnd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. betónom hr. 2 - 3 cm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Asfaltový betón AC11o II hr. 6 cm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m2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Výšková úprava uličnej vpuste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30,00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288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Výšková úprava šachty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10,00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 xml:space="preserve">Výšková úprava </w:t>
            </w:r>
            <w:proofErr w:type="spellStart"/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šupátka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ks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0329DF" w:rsidTr="000329DF">
        <w:trPr>
          <w:trHeight w:val="300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 xml:space="preserve">Predpokladané cena spolu v </w:t>
            </w:r>
          </w:p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€ bez DPH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329DF" w:rsidRDefault="000329DF">
            <w:pPr>
              <w:widowControl/>
              <w:spacing w:line="25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29DF" w:rsidRDefault="000329DF">
            <w:pPr>
              <w:widowControl/>
              <w:spacing w:line="256" w:lineRule="auto"/>
              <w:jc w:val="right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eastAsia="en-US"/>
              </w:rPr>
            </w:pPr>
          </w:p>
        </w:tc>
      </w:tr>
    </w:tbl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</w:p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 xml:space="preserve">Maximálny finančný objem zákazky: 650.000,- EUR bez </w:t>
      </w:r>
      <w:bookmarkEnd w:id="0"/>
      <w:r>
        <w:rPr>
          <w:rFonts w:ascii="Arial" w:hAnsi="Arial" w:cs="Arial"/>
          <w:color w:val="auto"/>
          <w:sz w:val="19"/>
          <w:szCs w:val="19"/>
        </w:rPr>
        <w:t>DPH t. j. 780.000,- EUR s DPH</w:t>
      </w:r>
    </w:p>
    <w:p w:rsidR="000329DF" w:rsidRDefault="000329DF" w:rsidP="000329DF">
      <w:pPr>
        <w:widowControl/>
        <w:spacing w:line="360" w:lineRule="auto"/>
        <w:ind w:left="283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 xml:space="preserve">Zákazka bude ukončená pri vyčerpaní finančného limitu, ale najneskôr do dňa 26.10.2022. </w:t>
      </w:r>
    </w:p>
    <w:p w:rsidR="00584C69" w:rsidRDefault="00C70F7E"/>
    <w:sectPr w:rsidR="0058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F"/>
    <w:rsid w:val="000329DF"/>
    <w:rsid w:val="002762B9"/>
    <w:rsid w:val="00516A4E"/>
    <w:rsid w:val="00C70F7E"/>
    <w:rsid w:val="00D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010A6-8ED7-4D7F-9C12-74C578B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29D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basedOn w:val="Predvolenpsmoodseku"/>
    <w:link w:val="Style4"/>
    <w:uiPriority w:val="99"/>
    <w:locked/>
    <w:rsid w:val="000329DF"/>
    <w:rPr>
      <w:rFonts w:ascii="Arial" w:hAnsi="Arial" w:cs="Arial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rsid w:val="000329DF"/>
    <w:pPr>
      <w:spacing w:after="100" w:line="278" w:lineRule="auto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2">
    <w:name w:val="Char Style 32"/>
    <w:basedOn w:val="Predvolenpsmoodseku"/>
    <w:link w:val="Style31"/>
    <w:uiPriority w:val="99"/>
    <w:locked/>
    <w:rsid w:val="000329DF"/>
    <w:rPr>
      <w:rFonts w:ascii="Arial" w:hAnsi="Arial" w:cs="Arial"/>
      <w:b/>
      <w:bCs/>
      <w:sz w:val="19"/>
      <w:szCs w:val="19"/>
    </w:rPr>
  </w:style>
  <w:style w:type="paragraph" w:customStyle="1" w:styleId="Style31">
    <w:name w:val="Style 31"/>
    <w:basedOn w:val="Normlny"/>
    <w:link w:val="CharStyle32"/>
    <w:uiPriority w:val="99"/>
    <w:rsid w:val="000329DF"/>
    <w:pPr>
      <w:spacing w:after="100" w:line="252" w:lineRule="auto"/>
      <w:outlineLvl w:val="1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2022-09-08T07:54:00Z</dcterms:created>
  <dcterms:modified xsi:type="dcterms:W3CDTF">2022-09-08T07:54:00Z</dcterms:modified>
</cp:coreProperties>
</file>