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3DA0" w14:textId="77777777" w:rsidR="00721B20" w:rsidRPr="006A755B" w:rsidRDefault="00721B20" w:rsidP="00866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755B">
        <w:rPr>
          <w:rFonts w:ascii="Times New Roman" w:eastAsia="Times New Roman" w:hAnsi="Times New Roman" w:cs="Times New Roman"/>
          <w:sz w:val="24"/>
          <w:szCs w:val="24"/>
          <w:lang w:eastAsia="sk-SK"/>
        </w:rPr>
        <w:object w:dxaOrig="2167" w:dyaOrig="2535" w14:anchorId="349CD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2.5pt" o:ole="">
            <v:imagedata r:id="rId8" o:title=""/>
          </v:shape>
          <o:OLEObject Type="Embed" ProgID="PaintShopPro" ShapeID="_x0000_i1025" DrawAspect="Content" ObjectID="_1722973470" r:id="rId9"/>
        </w:object>
      </w:r>
    </w:p>
    <w:p w14:paraId="51FE256D" w14:textId="77777777" w:rsidR="00721B20" w:rsidRPr="006A755B" w:rsidRDefault="00721B20" w:rsidP="0086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A75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KANCELÁRIA NAJVYŠŠIEHO SPRÁVNEHO SÚDU</w:t>
      </w:r>
    </w:p>
    <w:p w14:paraId="1DEE9BA5" w14:textId="5CDB7D9F" w:rsidR="00721B20" w:rsidRPr="006A755B" w:rsidRDefault="00721B20" w:rsidP="00866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A755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SLOVENSKEJ REPUBLIKY</w:t>
      </w:r>
    </w:p>
    <w:p w14:paraId="65D5C2A2" w14:textId="4212A03B" w:rsidR="00721B20" w:rsidRPr="006A755B" w:rsidRDefault="00721B20" w:rsidP="00866313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A75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Trenčianska 56/A, 821 </w:t>
      </w:r>
      <w:r w:rsidR="00D169B4">
        <w:rPr>
          <w:rFonts w:ascii="Times New Roman" w:eastAsia="Times New Roman" w:hAnsi="Times New Roman" w:cs="Times New Roman"/>
          <w:sz w:val="24"/>
          <w:szCs w:val="24"/>
          <w:lang w:eastAsia="sk-SK"/>
        </w:rPr>
        <w:t>09</w:t>
      </w:r>
      <w:r w:rsidRPr="006A75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Bratislava</w:t>
      </w:r>
      <w:r w:rsidR="00D169B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</w:p>
    <w:p w14:paraId="7E8704B3" w14:textId="77777777" w:rsidR="00D169B4" w:rsidRDefault="00D169B4" w:rsidP="00D1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2"/>
          <w:sz w:val="24"/>
          <w:szCs w:val="24"/>
        </w:rPr>
      </w:pPr>
    </w:p>
    <w:p w14:paraId="496401A4" w14:textId="7B156315" w:rsidR="00D169B4" w:rsidRPr="006A755B" w:rsidRDefault="00D169B4" w:rsidP="00D16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2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365F92"/>
          <w:sz w:val="24"/>
          <w:szCs w:val="24"/>
        </w:rPr>
        <w:t>PRIESKUM TRHU</w:t>
      </w:r>
    </w:p>
    <w:p w14:paraId="6129053E" w14:textId="77777777" w:rsidR="00EA0A2D" w:rsidRPr="006A755B" w:rsidRDefault="00EA0A2D" w:rsidP="00D16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0872C1" w14:textId="5FEA9DCE" w:rsidR="006168AA" w:rsidRPr="00A7186B" w:rsidRDefault="00A7186B" w:rsidP="0086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186B">
        <w:rPr>
          <w:rFonts w:ascii="Times New Roman" w:hAnsi="Times New Roman" w:cs="Times New Roman"/>
          <w:sz w:val="24"/>
          <w:szCs w:val="24"/>
        </w:rPr>
        <w:t>výzva na predloženie indikatívnej cenovej ponuky</w:t>
      </w:r>
    </w:p>
    <w:p w14:paraId="20FD3A6D" w14:textId="7777777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podľa § 6 ods. 1 zákona č. 343/2015 Z. z. o verejnom obstarávaní</w:t>
      </w:r>
    </w:p>
    <w:p w14:paraId="1A7D9DDA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B72F15" w14:textId="2EF57B08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Názov predmetu zákazky</w:t>
      </w:r>
    </w:p>
    <w:p w14:paraId="31B81DD2" w14:textId="32CCA363" w:rsidR="009E098A" w:rsidRPr="00521B89" w:rsidRDefault="00521B89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1B89">
        <w:rPr>
          <w:rFonts w:ascii="Times New Roman" w:hAnsi="Times New Roman" w:cs="Times New Roman"/>
          <w:bCs/>
          <w:color w:val="000000"/>
          <w:sz w:val="24"/>
          <w:szCs w:val="24"/>
        </w:rPr>
        <w:t>Licencie pre potreby IT infraštruktúry KNSS</w:t>
      </w:r>
    </w:p>
    <w:p w14:paraId="7548E36D" w14:textId="77777777" w:rsidR="00521B89" w:rsidRDefault="00521B89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334698" w14:textId="01BAC5F4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Druh zákazky</w:t>
      </w:r>
    </w:p>
    <w:p w14:paraId="6D28411C" w14:textId="3365A36D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Dodanie tovarov</w:t>
      </w:r>
      <w:r w:rsidR="00421627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3CED">
        <w:rPr>
          <w:rFonts w:ascii="Times New Roman" w:hAnsi="Times New Roman" w:cs="Times New Roman"/>
          <w:color w:val="000000"/>
          <w:sz w:val="24"/>
          <w:szCs w:val="24"/>
        </w:rPr>
        <w:t>vrátane súvisiacich služieb</w:t>
      </w:r>
    </w:p>
    <w:p w14:paraId="53891045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645E88" w14:textId="3BDE4D7B" w:rsidR="009541DB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Identifikácia verejného obstarávateľa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82"/>
      </w:tblGrid>
      <w:tr w:rsidR="009541DB" w:rsidRPr="006A755B" w14:paraId="4214C75A" w14:textId="77777777" w:rsidTr="006754DD">
        <w:trPr>
          <w:trHeight w:val="523"/>
        </w:trPr>
        <w:tc>
          <w:tcPr>
            <w:tcW w:w="4482" w:type="dxa"/>
          </w:tcPr>
          <w:p w14:paraId="2D6D021E" w14:textId="77777777" w:rsidR="009541D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Verejný obstarávateľ </w:t>
            </w:r>
          </w:p>
          <w:p w14:paraId="3F8B7939" w14:textId="1D985BC2" w:rsidR="005A15AA" w:rsidRPr="006A755B" w:rsidRDefault="005A15AA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b/>
                <w:sz w:val="20"/>
                <w:szCs w:val="20"/>
              </w:rPr>
              <w:t>Licencie pre potreby IT infraštruktúry KNSS</w:t>
            </w:r>
          </w:p>
        </w:tc>
        <w:tc>
          <w:tcPr>
            <w:tcW w:w="4482" w:type="dxa"/>
          </w:tcPr>
          <w:p w14:paraId="64B6562C" w14:textId="1E00A62E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Kancelária najvyššieho správneho súdu Slovenskej republiky je podľa § 7 ods. 1 písm. </w:t>
            </w:r>
            <w:r w:rsidR="009E098A">
              <w:rPr>
                <w:color w:val="auto"/>
              </w:rPr>
              <w:t>a</w:t>
            </w:r>
            <w:r w:rsidRPr="006A755B">
              <w:rPr>
                <w:color w:val="auto"/>
              </w:rPr>
              <w:t xml:space="preserve">) zákona č. 343/2015  Z. z. o verejnom obstarávaní a o zmene a doplnení niektorých zákonov v znení neskorších predpisov verejný obstarávateľ. </w:t>
            </w:r>
          </w:p>
        </w:tc>
      </w:tr>
      <w:tr w:rsidR="009541DB" w:rsidRPr="006A755B" w14:paraId="2474E264" w14:textId="77777777" w:rsidTr="006754DD">
        <w:trPr>
          <w:trHeight w:val="109"/>
        </w:trPr>
        <w:tc>
          <w:tcPr>
            <w:tcW w:w="4482" w:type="dxa"/>
          </w:tcPr>
          <w:p w14:paraId="32309AB8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Adresa </w:t>
            </w:r>
          </w:p>
        </w:tc>
        <w:tc>
          <w:tcPr>
            <w:tcW w:w="4482" w:type="dxa"/>
          </w:tcPr>
          <w:p w14:paraId="0DAC4237" w14:textId="5F52C2E1" w:rsidR="009541DB" w:rsidRPr="006A755B" w:rsidRDefault="00176814" w:rsidP="00866313">
            <w:pPr>
              <w:pStyle w:val="Default"/>
              <w:spacing w:line="276" w:lineRule="auto"/>
              <w:rPr>
                <w:color w:val="auto"/>
              </w:rPr>
            </w:pPr>
            <w:r w:rsidRPr="006A755B">
              <w:t>Trenčianska 56/A</w:t>
            </w:r>
            <w:r w:rsidR="009541DB" w:rsidRPr="006A755B">
              <w:br/>
              <w:t>8</w:t>
            </w:r>
            <w:r w:rsidRPr="006A755B">
              <w:t>21</w:t>
            </w:r>
            <w:r w:rsidR="009541DB" w:rsidRPr="006A755B">
              <w:t xml:space="preserve"> </w:t>
            </w:r>
            <w:r w:rsidR="00A7186B">
              <w:t>09</w:t>
            </w:r>
            <w:r w:rsidR="009541DB" w:rsidRPr="006A755B">
              <w:t xml:space="preserve"> BRATISLAVA</w:t>
            </w:r>
            <w:r w:rsidR="00A7186B">
              <w:t xml:space="preserve"> 3</w:t>
            </w:r>
          </w:p>
        </w:tc>
      </w:tr>
      <w:tr w:rsidR="009541DB" w:rsidRPr="006A755B" w14:paraId="62C65459" w14:textId="77777777" w:rsidTr="006754DD">
        <w:trPr>
          <w:trHeight w:val="109"/>
        </w:trPr>
        <w:tc>
          <w:tcPr>
            <w:tcW w:w="4482" w:type="dxa"/>
          </w:tcPr>
          <w:p w14:paraId="331DE8D3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IČO </w:t>
            </w:r>
          </w:p>
        </w:tc>
        <w:tc>
          <w:tcPr>
            <w:tcW w:w="4482" w:type="dxa"/>
          </w:tcPr>
          <w:p w14:paraId="1D79BFF8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t>53857097</w:t>
            </w:r>
          </w:p>
        </w:tc>
      </w:tr>
      <w:tr w:rsidR="009541DB" w:rsidRPr="006A755B" w14:paraId="1D87440F" w14:textId="77777777" w:rsidTr="006754DD">
        <w:trPr>
          <w:trHeight w:val="109"/>
        </w:trPr>
        <w:tc>
          <w:tcPr>
            <w:tcW w:w="4482" w:type="dxa"/>
          </w:tcPr>
          <w:p w14:paraId="6D9ED091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DIČ </w:t>
            </w:r>
          </w:p>
        </w:tc>
        <w:tc>
          <w:tcPr>
            <w:tcW w:w="4482" w:type="dxa"/>
          </w:tcPr>
          <w:p w14:paraId="00B43CA5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 </w:t>
            </w:r>
            <w:r w:rsidRPr="006A755B">
              <w:t>2121511700</w:t>
            </w:r>
          </w:p>
        </w:tc>
      </w:tr>
      <w:tr w:rsidR="009541DB" w:rsidRPr="006A755B" w14:paraId="5B25A0C0" w14:textId="77777777" w:rsidTr="006754DD">
        <w:trPr>
          <w:trHeight w:val="247"/>
        </w:trPr>
        <w:tc>
          <w:tcPr>
            <w:tcW w:w="4482" w:type="dxa"/>
          </w:tcPr>
          <w:p w14:paraId="694ABD2D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Kontaktná osoba/telefón, email: </w:t>
            </w:r>
          </w:p>
        </w:tc>
        <w:tc>
          <w:tcPr>
            <w:tcW w:w="4482" w:type="dxa"/>
          </w:tcPr>
          <w:p w14:paraId="734868DC" w14:textId="77777777" w:rsidR="009541DB" w:rsidRPr="006A755B" w:rsidRDefault="009541DB" w:rsidP="008663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A7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Jana Kavčiaková. </w:t>
            </w:r>
            <w:r w:rsidRPr="006A755B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tel.: 0905377496 </w:t>
            </w:r>
          </w:p>
          <w:p w14:paraId="3BEBABAB" w14:textId="1811B107" w:rsidR="009541DB" w:rsidRPr="006A755B" w:rsidRDefault="00A7186B" w:rsidP="008663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9541DB" w:rsidRPr="006A755B">
              <w:rPr>
                <w:rFonts w:ascii="Times New Roman" w:eastAsia="Times New Roman" w:hAnsi="Times New Roman" w:cs="Times New Roman"/>
                <w:sz w:val="24"/>
                <w:szCs w:val="24"/>
              </w:rPr>
              <w:t>anka.kavciakova@nssud.sk</w:t>
            </w:r>
          </w:p>
        </w:tc>
      </w:tr>
      <w:tr w:rsidR="009541DB" w:rsidRPr="006A755B" w14:paraId="6F2BFD7D" w14:textId="77777777" w:rsidTr="006754DD">
        <w:trPr>
          <w:trHeight w:val="109"/>
        </w:trPr>
        <w:tc>
          <w:tcPr>
            <w:tcW w:w="4482" w:type="dxa"/>
          </w:tcPr>
          <w:p w14:paraId="4D94D997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Internetová adresa (URL): </w:t>
            </w:r>
          </w:p>
        </w:tc>
        <w:tc>
          <w:tcPr>
            <w:tcW w:w="4482" w:type="dxa"/>
          </w:tcPr>
          <w:p w14:paraId="626C48A6" w14:textId="77777777" w:rsidR="009541DB" w:rsidRPr="006A755B" w:rsidRDefault="009541DB" w:rsidP="0086631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A755B">
              <w:rPr>
                <w:color w:val="auto"/>
              </w:rPr>
              <w:t xml:space="preserve">https://www.nssud.sk </w:t>
            </w:r>
          </w:p>
        </w:tc>
      </w:tr>
    </w:tbl>
    <w:p w14:paraId="25310BD5" w14:textId="19F40390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highlight w:val="yellow"/>
          <w:u w:val="single"/>
        </w:rPr>
      </w:pPr>
    </w:p>
    <w:p w14:paraId="1B2995F5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9FA2B9" w14:textId="4C4200E8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Stručný opis predmetu zákazky</w:t>
      </w:r>
    </w:p>
    <w:p w14:paraId="4B4F05D2" w14:textId="56B8E454" w:rsidR="00587F2A" w:rsidRPr="00583FFD" w:rsidRDefault="00587F2A" w:rsidP="00587F2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FFD">
        <w:rPr>
          <w:rFonts w:ascii="Times New Roman" w:hAnsi="Times New Roman" w:cs="Times New Roman"/>
          <w:bCs/>
          <w:sz w:val="24"/>
          <w:szCs w:val="24"/>
        </w:rPr>
        <w:t xml:space="preserve">Predmetom zákazky je dodávka </w:t>
      </w:r>
      <w:r w:rsidR="008D2C60">
        <w:rPr>
          <w:rFonts w:ascii="Times New Roman" w:hAnsi="Times New Roman" w:cs="Times New Roman"/>
          <w:bCs/>
          <w:sz w:val="24"/>
          <w:szCs w:val="24"/>
        </w:rPr>
        <w:t xml:space="preserve">licencií </w:t>
      </w:r>
      <w:r w:rsidRPr="00583FFD">
        <w:rPr>
          <w:rFonts w:ascii="Times New Roman" w:hAnsi="Times New Roman" w:cs="Times New Roman"/>
          <w:bCs/>
          <w:sz w:val="24"/>
          <w:szCs w:val="24"/>
        </w:rPr>
        <w:t xml:space="preserve">pre potreby IT infraštruktúry KNSSUD </w:t>
      </w:r>
      <w:r w:rsidR="007135A9">
        <w:rPr>
          <w:rFonts w:ascii="Times New Roman" w:hAnsi="Times New Roman" w:cs="Times New Roman"/>
          <w:sz w:val="24"/>
          <w:szCs w:val="24"/>
        </w:rPr>
        <w:t>do</w:t>
      </w:r>
      <w:r w:rsidRPr="00583FFD">
        <w:rPr>
          <w:rFonts w:ascii="Times New Roman" w:hAnsi="Times New Roman" w:cs="Times New Roman"/>
          <w:sz w:val="24"/>
          <w:szCs w:val="24"/>
        </w:rPr>
        <w:t> miest</w:t>
      </w:r>
      <w:r w:rsidR="007135A9">
        <w:rPr>
          <w:rFonts w:ascii="Times New Roman" w:hAnsi="Times New Roman" w:cs="Times New Roman"/>
          <w:sz w:val="24"/>
          <w:szCs w:val="24"/>
        </w:rPr>
        <w:t>a</w:t>
      </w:r>
      <w:r w:rsidRPr="00583FFD">
        <w:rPr>
          <w:rFonts w:ascii="Times New Roman" w:hAnsi="Times New Roman" w:cs="Times New Roman"/>
          <w:sz w:val="24"/>
          <w:szCs w:val="24"/>
        </w:rPr>
        <w:t xml:space="preserve"> plnenia</w:t>
      </w:r>
      <w:r w:rsidR="007135A9">
        <w:rPr>
          <w:rFonts w:ascii="Times New Roman" w:hAnsi="Times New Roman" w:cs="Times New Roman"/>
          <w:sz w:val="24"/>
          <w:szCs w:val="24"/>
        </w:rPr>
        <w:t>.</w:t>
      </w:r>
      <w:r w:rsidRPr="00583FFD">
        <w:rPr>
          <w:rFonts w:ascii="Times New Roman" w:hAnsi="Times New Roman" w:cs="Times New Roman"/>
          <w:sz w:val="24"/>
          <w:szCs w:val="24"/>
        </w:rPr>
        <w:t xml:space="preserve"> Podrobná špecifikácia predmetu zákazky je uvedená v Prílohe č. </w:t>
      </w:r>
      <w:r w:rsidR="0064189C">
        <w:rPr>
          <w:rFonts w:ascii="Times New Roman" w:hAnsi="Times New Roman" w:cs="Times New Roman"/>
          <w:sz w:val="24"/>
          <w:szCs w:val="24"/>
        </w:rPr>
        <w:t>3</w:t>
      </w:r>
      <w:r w:rsidRPr="00583FFD">
        <w:rPr>
          <w:rFonts w:ascii="Times New Roman" w:hAnsi="Times New Roman" w:cs="Times New Roman"/>
          <w:sz w:val="24"/>
          <w:szCs w:val="24"/>
        </w:rPr>
        <w:t xml:space="preserve">  tejto výzvy. </w:t>
      </w:r>
    </w:p>
    <w:p w14:paraId="03648023" w14:textId="77777777" w:rsidR="00B14893" w:rsidRPr="00583FFD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B72CAD" w14:textId="256A8B08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Spoločný slovník obstarávania</w:t>
      </w:r>
    </w:p>
    <w:p w14:paraId="1A5CEBC2" w14:textId="28031469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CPV podľa</w:t>
      </w:r>
      <w:r w:rsidR="001B0CD7"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slovníka</w:t>
      </w:r>
    </w:p>
    <w:p w14:paraId="279B0F7B" w14:textId="77777777" w:rsidR="00E97A73" w:rsidRPr="00E97A73" w:rsidRDefault="00E21C10" w:rsidP="00E97A73">
      <w:pPr>
        <w:framePr w:hSpace="141" w:wrap="around" w:vAnchor="text" w:hAnchor="text" w:xAlign="center" w:y="1"/>
        <w:spacing w:after="0"/>
        <w:suppressOverlap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97A7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E97A73" w:rsidRPr="00E97A73">
        <w:rPr>
          <w:rFonts w:ascii="Times New Roman" w:eastAsia="Times New Roman" w:hAnsi="Times New Roman" w:cs="Times New Roman"/>
          <w:sz w:val="24"/>
          <w:szCs w:val="24"/>
          <w:lang w:eastAsia="sk-SK"/>
        </w:rPr>
        <w:t>48212000-7</w:t>
      </w:r>
    </w:p>
    <w:p w14:paraId="02ADACC5" w14:textId="36E02D00" w:rsidR="00E97A73" w:rsidRPr="00E97A73" w:rsidRDefault="00E97A73" w:rsidP="00E97A73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E97A73">
        <w:rPr>
          <w:rFonts w:ascii="Times New Roman" w:eastAsia="Times New Roman" w:hAnsi="Times New Roman" w:cs="Times New Roman"/>
          <w:sz w:val="24"/>
          <w:szCs w:val="24"/>
          <w:lang w:eastAsia="sk-SK"/>
        </w:rPr>
        <w:t>48219700-3</w:t>
      </w:r>
    </w:p>
    <w:p w14:paraId="5BC9A5D5" w14:textId="52A0B3B7" w:rsidR="00E97A73" w:rsidRPr="00E97A73" w:rsidRDefault="00E97A73" w:rsidP="00E97A73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E97A73">
        <w:rPr>
          <w:rFonts w:ascii="Times New Roman" w:eastAsia="Times New Roman" w:hAnsi="Times New Roman" w:cs="Times New Roman"/>
          <w:sz w:val="24"/>
          <w:szCs w:val="24"/>
          <w:lang w:eastAsia="sk-SK"/>
        </w:rPr>
        <w:t>48710000-8</w:t>
      </w:r>
    </w:p>
    <w:p w14:paraId="61EBB2EC" w14:textId="1428526D" w:rsidR="00E97A73" w:rsidRPr="00E97A73" w:rsidRDefault="00E97A73" w:rsidP="00E97A73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E97A73">
        <w:rPr>
          <w:rFonts w:ascii="Times New Roman" w:eastAsia="Times New Roman" w:hAnsi="Times New Roman" w:cs="Times New Roman"/>
          <w:sz w:val="24"/>
          <w:szCs w:val="24"/>
          <w:lang w:eastAsia="sk-SK"/>
        </w:rPr>
        <w:t>48611000-4</w:t>
      </w:r>
    </w:p>
    <w:p w14:paraId="30E88C52" w14:textId="44322DC9" w:rsidR="00902B7D" w:rsidRPr="00E97A73" w:rsidRDefault="00E97A73" w:rsidP="00E97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E97A73">
        <w:rPr>
          <w:rFonts w:ascii="Times New Roman" w:eastAsia="Times New Roman" w:hAnsi="Times New Roman" w:cs="Times New Roman"/>
          <w:sz w:val="24"/>
          <w:szCs w:val="24"/>
          <w:lang w:eastAsia="sk-SK"/>
        </w:rPr>
        <w:t>48621000-7</w:t>
      </w:r>
    </w:p>
    <w:p w14:paraId="645BE8FF" w14:textId="02FC04D3" w:rsidR="00902B7D" w:rsidRPr="00BB3AF5" w:rsidRDefault="00E97A73" w:rsidP="00E97A73">
      <w:pPr>
        <w:tabs>
          <w:tab w:val="left" w:pos="567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44C54" w14:textId="77777777" w:rsidR="00D77E6A" w:rsidRPr="00BB3AF5" w:rsidRDefault="00D77E6A" w:rsidP="00E9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E02127" w14:textId="7EBBD697" w:rsidR="00D12BCA" w:rsidRPr="006A755B" w:rsidRDefault="00D12BCA" w:rsidP="00E9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3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Miesto a termín dodania tovarov a súvisiacich služieb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A64C650" w14:textId="7777777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lastRenderedPageBreak/>
        <w:t>Miesto dodania: sídlo verejného obstarávateľa uvedené v bode 3. tejto výzvy.</w:t>
      </w:r>
    </w:p>
    <w:p w14:paraId="13160C80" w14:textId="77777777" w:rsidR="000D1203" w:rsidRPr="00B220DC" w:rsidRDefault="000D120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D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81F1372" w14:textId="517C48D6" w:rsidR="00D12BCA" w:rsidRPr="006D7BB0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7B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Spôsob určenia ceny</w:t>
      </w:r>
      <w:r w:rsidR="001B0CD7" w:rsidRPr="006D7B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14:paraId="1BACA715" w14:textId="1E371848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BB0">
        <w:rPr>
          <w:rFonts w:ascii="Times New Roman" w:hAnsi="Times New Roman" w:cs="Times New Roman"/>
          <w:color w:val="000000"/>
          <w:sz w:val="24"/>
          <w:szCs w:val="24"/>
        </w:rPr>
        <w:t>Cena za predmet zákazky musí byť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stanovená v zmysle zákona č. 18/1996 Z. z. o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cenách v znení neskorších predpisov. Navrhovaná cena musí byť v súlade s § 2 citovaného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zákona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o cenách založená na cene obchodného alebo sprostredkovateľského výkonu,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ekonomicky oprávnených nákladoch a primeranom zisku.</w:t>
      </w:r>
    </w:p>
    <w:p w14:paraId="03AD0C51" w14:textId="1C4CB8D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Navrhovaná cena musí byť vyjadrená v eurách v súlade so zákonom č. 659/2007 Z. z. o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zavedení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meny euro v Slovenskej republike a o zmene a doplnení niektorých zákonov v znení neskorších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predpisov a Vyhlášok č. 97/ 2008 Z. z. a 75/2008 Z. z.</w:t>
      </w:r>
    </w:p>
    <w:p w14:paraId="664B5E5E" w14:textId="1864BC1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Návrh indikatívnej ceny musí obsahovať všetky predpokladané náklady spojené s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plnením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predmetu zákazky (t. j. vrátane </w:t>
      </w:r>
      <w:r w:rsidR="00091D9E">
        <w:rPr>
          <w:rFonts w:ascii="Times New Roman" w:hAnsi="Times New Roman" w:cs="Times New Roman"/>
          <w:color w:val="000000"/>
          <w:sz w:val="24"/>
          <w:szCs w:val="24"/>
        </w:rPr>
        <w:t xml:space="preserve">inštalácie a montáže,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dopravných nákladov, nákladov súvisiacich s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ekologickou</w:t>
      </w:r>
      <w:r w:rsidR="00C329E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likvidáciou obalov</w:t>
      </w:r>
      <w:r w:rsidR="001B38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a pod).</w:t>
      </w:r>
    </w:p>
    <w:p w14:paraId="747033BB" w14:textId="7777777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Pri tvorbe cenovej ponuky je potrebné zohľadniť aj:</w:t>
      </w:r>
    </w:p>
    <w:p w14:paraId="0F7D893E" w14:textId="7777777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- primeranosť jej stanovenia na základe jemu vzniknutých nákladov a primeranosť zisku,</w:t>
      </w:r>
    </w:p>
    <w:p w14:paraId="5E06D02F" w14:textId="42895EF0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- lehoty dodania</w:t>
      </w:r>
      <w:r w:rsidR="009E6E6E">
        <w:rPr>
          <w:rFonts w:ascii="Times New Roman" w:hAnsi="Times New Roman" w:cs="Times New Roman"/>
          <w:color w:val="000000"/>
          <w:sz w:val="24"/>
          <w:szCs w:val="24"/>
        </w:rPr>
        <w:t xml:space="preserve"> predmetu zákazky a to do 30.</w:t>
      </w:r>
      <w:r w:rsidR="00AA658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E6E6E">
        <w:rPr>
          <w:rFonts w:ascii="Times New Roman" w:hAnsi="Times New Roman" w:cs="Times New Roman"/>
          <w:color w:val="000000"/>
          <w:sz w:val="24"/>
          <w:szCs w:val="24"/>
        </w:rPr>
        <w:t>.2022.</w:t>
      </w:r>
    </w:p>
    <w:p w14:paraId="748374A1" w14:textId="49713A9E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Verejný obstarávateľ požaduje predložiť vyplnenú / </w:t>
      </w:r>
      <w:proofErr w:type="spellStart"/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nacenenú</w:t>
      </w:r>
      <w:proofErr w:type="spellEnd"/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Prílohu č. </w:t>
      </w:r>
      <w:r w:rsidR="00867855"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tejto výzvy vo</w:t>
      </w:r>
      <w:r w:rsidR="00867855"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formáte XLS a PDF pri zohľadnení opisu predmetu zákazky</w:t>
      </w:r>
      <w:r w:rsidR="00867855"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2FB641F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35B9D3" w14:textId="64EAC7F0" w:rsidR="00D12BCA" w:rsidRPr="006A755B" w:rsidRDefault="003E5A2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12BCA"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Lehota na predkladanie ponuky</w:t>
      </w:r>
    </w:p>
    <w:p w14:paraId="1426AA59" w14:textId="2A423A8F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Lehota na predkladanie ponúk je do: </w:t>
      </w:r>
      <w:r w:rsidR="00D21A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</w:t>
      </w:r>
      <w:r w:rsidR="00781C91" w:rsidRPr="00781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3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augusta</w:t>
      </w:r>
      <w:r w:rsidR="00781C91" w:rsidRPr="00781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1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 do 1</w:t>
      </w:r>
      <w:r w:rsidR="00AA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781C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 hod.</w:t>
      </w:r>
    </w:p>
    <w:p w14:paraId="76391594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61D1E1" w14:textId="2BD5EB64" w:rsidR="00D12BCA" w:rsidRPr="006A755B" w:rsidRDefault="003E5A2F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D12BCA"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Platobné podmienky</w:t>
      </w:r>
    </w:p>
    <w:p w14:paraId="75702094" w14:textId="713B4406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Platba bude realizovaná formou bezhotovostného platobného styku na základe daňového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dokladu vystaveného predávajúcim, splatnosť ktorého je do 30 kalendárnych dní odo dňa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preukázateľného doručenia príslušnej faktúry verejnému obstarávateľovi.</w:t>
      </w:r>
      <w:r w:rsidR="005E2A74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Verejný obstarávateľ neposkytuje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preddavky, ani zálohové platby.</w:t>
      </w:r>
    </w:p>
    <w:p w14:paraId="51645891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9ED310" w14:textId="7C876A81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E5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Spôsob predloženia </w:t>
      </w:r>
      <w:r w:rsidR="003E5A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indikatívnej cenovej 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ponuky</w:t>
      </w:r>
    </w:p>
    <w:p w14:paraId="68307760" w14:textId="3EFC3259" w:rsidR="007E7A48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Prostredníctvom </w:t>
      </w:r>
      <w:r w:rsidR="002545EC">
        <w:rPr>
          <w:rFonts w:ascii="Times New Roman" w:hAnsi="Times New Roman" w:cs="Times New Roman"/>
          <w:color w:val="000000"/>
          <w:sz w:val="24"/>
          <w:szCs w:val="24"/>
        </w:rPr>
        <w:t xml:space="preserve">komunikačného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systému </w:t>
      </w:r>
      <w:proofErr w:type="spellStart"/>
      <w:r w:rsidRPr="006A755B">
        <w:rPr>
          <w:rFonts w:ascii="Times New Roman" w:hAnsi="Times New Roman" w:cs="Times New Roman"/>
          <w:color w:val="000000"/>
          <w:sz w:val="24"/>
          <w:szCs w:val="24"/>
        </w:rPr>
        <w:t>Josephine</w:t>
      </w:r>
      <w:proofErr w:type="spellEnd"/>
      <w:r w:rsidRPr="006A755B">
        <w:rPr>
          <w:rFonts w:ascii="Times New Roman" w:hAnsi="Times New Roman" w:cs="Times New Roman"/>
          <w:color w:val="000000"/>
          <w:sz w:val="24"/>
          <w:szCs w:val="24"/>
        </w:rPr>
        <w:t>, v prípade výpadku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alebo technický</w:t>
      </w:r>
      <w:r w:rsidR="002545EC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problémov výni</w:t>
      </w:r>
      <w:r w:rsidR="00EA319E" w:rsidRPr="006A755B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čne aj elektronickou poštou na e-mailovú adresu uvedenú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v bode 3 tejto výzvy.</w:t>
      </w:r>
    </w:p>
    <w:p w14:paraId="77E421B7" w14:textId="77777777" w:rsidR="00D21A9D" w:rsidRDefault="00D21A9D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DEC377" w14:textId="763C6BC7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F3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A7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Ďalšie súvisiace informácie:</w:t>
      </w:r>
    </w:p>
    <w:p w14:paraId="24C55537" w14:textId="27F0379A" w:rsidR="00D12BCA" w:rsidRPr="006A755B" w:rsidRDefault="00D12BCA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Predloženie ponuky je indikatívne a do budúcna nekonštatuje konflikt záujmov a</w:t>
      </w:r>
      <w:r w:rsidR="005E2A74" w:rsidRPr="006A755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nebráni</w:t>
      </w:r>
      <w:r w:rsidR="005E2A74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hospodárskemu subjektu zúčastniť sa zadávania zákazky na vyššie uvedený predmet zákazky</w:t>
      </w:r>
      <w:r w:rsidR="00B14893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>po jeho vyhlásení.</w:t>
      </w:r>
    </w:p>
    <w:p w14:paraId="54F380F2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62F0A7" w14:textId="4F060F72" w:rsidR="00D12BCA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D12BCA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Bratislave, dňa </w:t>
      </w:r>
      <w:r w:rsidR="005E2A74"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42FB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D10F61">
        <w:rPr>
          <w:rFonts w:ascii="Times New Roman" w:hAnsi="Times New Roman" w:cs="Times New Roman"/>
          <w:color w:val="000000"/>
          <w:sz w:val="24"/>
          <w:szCs w:val="24"/>
        </w:rPr>
        <w:t>.8.2022</w:t>
      </w:r>
    </w:p>
    <w:p w14:paraId="7E2CA1E3" w14:textId="77777777" w:rsidR="00B14893" w:rsidRPr="006A755B" w:rsidRDefault="00B14893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A8F127" w14:textId="77777777" w:rsidR="001201E4" w:rsidRDefault="001201E4" w:rsidP="009777B1">
      <w:pPr>
        <w:tabs>
          <w:tab w:val="center" w:pos="652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</w:p>
    <w:p w14:paraId="0F1D2D31" w14:textId="7B1BCFDD" w:rsidR="009777B1" w:rsidRPr="009777B1" w:rsidRDefault="001201E4" w:rsidP="009777B1">
      <w:pPr>
        <w:tabs>
          <w:tab w:val="center" w:pos="6521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Ing. Jana Kavčiaková</w:t>
      </w:r>
    </w:p>
    <w:p w14:paraId="3E68C2DC" w14:textId="5094AFBD" w:rsidR="009777B1" w:rsidRPr="009777B1" w:rsidRDefault="009777B1" w:rsidP="001201E4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777B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="002545E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Odbor ekonomiky a správy majetku</w:t>
      </w:r>
    </w:p>
    <w:p w14:paraId="7511B778" w14:textId="77777777" w:rsidR="00B955A4" w:rsidRDefault="00B955A4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08A96A" w14:textId="77777777" w:rsidR="00B955A4" w:rsidRDefault="00B955A4" w:rsidP="00866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1E3A9" w14:textId="43B87260" w:rsidR="00D12BCA" w:rsidRPr="006A755B" w:rsidRDefault="00D12BCA" w:rsidP="00B95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– Formulár Identifikačné údaje hospodárskeho subjektu</w:t>
      </w:r>
    </w:p>
    <w:p w14:paraId="51BF0414" w14:textId="679B8897" w:rsidR="00F75F1D" w:rsidRDefault="00D12BCA" w:rsidP="00B955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Príloha č. </w:t>
      </w:r>
      <w:r w:rsidR="00B8764A" w:rsidRPr="006A75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A755B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44C3C">
        <w:rPr>
          <w:rFonts w:ascii="Times New Roman" w:hAnsi="Times New Roman" w:cs="Times New Roman"/>
          <w:color w:val="000000"/>
          <w:sz w:val="24"/>
          <w:szCs w:val="24"/>
        </w:rPr>
        <w:t xml:space="preserve">Indikatívna </w:t>
      </w:r>
      <w:r w:rsidR="0098529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751FA0">
        <w:rPr>
          <w:rFonts w:ascii="Times New Roman" w:hAnsi="Times New Roman" w:cs="Times New Roman"/>
          <w:color w:val="000000"/>
          <w:sz w:val="24"/>
          <w:szCs w:val="24"/>
        </w:rPr>
        <w:t xml:space="preserve">enová ponuka </w:t>
      </w:r>
    </w:p>
    <w:p w14:paraId="05529378" w14:textId="77777777" w:rsidR="00B642FB" w:rsidRDefault="00926654" w:rsidP="00B642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Príloha č. 3 - </w:t>
      </w:r>
      <w:r w:rsidR="00696471">
        <w:rPr>
          <w:rFonts w:ascii="Times New Roman" w:hAnsi="Times New Roman" w:cs="Times New Roman"/>
          <w:color w:val="000000"/>
          <w:sz w:val="24"/>
          <w:szCs w:val="24"/>
        </w:rPr>
        <w:t xml:space="preserve"> Opis predmetu zákazky</w:t>
      </w:r>
    </w:p>
    <w:p w14:paraId="47366491" w14:textId="77777777" w:rsidR="00A17C4F" w:rsidRDefault="00A17C4F" w:rsidP="00B642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BEF11" w14:textId="14096362" w:rsidR="006D03F3" w:rsidRPr="00987CD9" w:rsidRDefault="008F7D01" w:rsidP="00B642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CD9">
        <w:rPr>
          <w:rFonts w:ascii="Times New Roman" w:hAnsi="Times New Roman" w:cs="Times New Roman"/>
          <w:color w:val="000000"/>
          <w:sz w:val="24"/>
          <w:szCs w:val="24"/>
        </w:rPr>
        <w:lastRenderedPageBreak/>
        <w:t>Príloha č.1</w:t>
      </w:r>
    </w:p>
    <w:p w14:paraId="17ECC6ED" w14:textId="71982DD0" w:rsidR="006D03F3" w:rsidRPr="00987CD9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903FB5" w14:textId="77777777" w:rsidR="00B05010" w:rsidRPr="00B05010" w:rsidRDefault="00B05010" w:rsidP="00B05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50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Identifikačné údaje hospodárskeho subjektu</w:t>
      </w:r>
    </w:p>
    <w:p w14:paraId="3418F57D" w14:textId="77777777" w:rsidR="008F7D01" w:rsidRPr="00987CD9" w:rsidRDefault="008F7D01" w:rsidP="008F7D01">
      <w:pPr>
        <w:rPr>
          <w:rFonts w:ascii="Times New Roman" w:hAnsi="Times New Roman" w:cs="Times New Roman"/>
          <w:sz w:val="24"/>
          <w:szCs w:val="24"/>
        </w:rPr>
      </w:pPr>
    </w:p>
    <w:p w14:paraId="420DED1D" w14:textId="53E002BF" w:rsidR="00987CD9" w:rsidRPr="00987CD9" w:rsidRDefault="008F7D01" w:rsidP="00987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CD9">
        <w:rPr>
          <w:rFonts w:ascii="Times New Roman" w:hAnsi="Times New Roman" w:cs="Times New Roman"/>
          <w:b/>
          <w:sz w:val="24"/>
          <w:szCs w:val="24"/>
        </w:rPr>
        <w:t>Názov zákazky:</w:t>
      </w:r>
      <w:r w:rsidRPr="00987CD9">
        <w:rPr>
          <w:rFonts w:ascii="Times New Roman" w:hAnsi="Times New Roman" w:cs="Times New Roman"/>
          <w:sz w:val="24"/>
          <w:szCs w:val="24"/>
        </w:rPr>
        <w:t xml:space="preserve">  </w:t>
      </w:r>
      <w:r w:rsidR="00A819DB" w:rsidRPr="00A819DB">
        <w:rPr>
          <w:rFonts w:ascii="Times New Roman" w:hAnsi="Times New Roman" w:cs="Times New Roman"/>
          <w:b/>
          <w:color w:val="000000"/>
          <w:sz w:val="24"/>
          <w:szCs w:val="24"/>
        </w:rPr>
        <w:t>Licencie pre potreby IT infraštruktúry KNSS</w:t>
      </w:r>
    </w:p>
    <w:p w14:paraId="432CFDAF" w14:textId="77777777" w:rsidR="008F7D01" w:rsidRPr="00987CD9" w:rsidRDefault="008F7D01" w:rsidP="008F7D01">
      <w:pPr>
        <w:rPr>
          <w:rFonts w:ascii="Times New Roman" w:hAnsi="Times New Roman" w:cs="Times New Roman"/>
          <w:sz w:val="24"/>
          <w:szCs w:val="24"/>
        </w:rPr>
      </w:pPr>
    </w:p>
    <w:p w14:paraId="300CF85E" w14:textId="77777777" w:rsidR="008F7D01" w:rsidRPr="00987CD9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Obchodné meno: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7CA10729" w14:textId="42ECA5C8" w:rsidR="008F7D01" w:rsidRPr="00987CD9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Identifikačné číslo: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489CA801" w14:textId="77777777" w:rsidR="008F7D01" w:rsidRPr="00987CD9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Daňové identifikačné číslo (DIČ):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3CE60ECC" w14:textId="77777777" w:rsidR="008F7D01" w:rsidRPr="00987CD9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IČ DPH, ak sa uplatňuje: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60D2792E" w14:textId="77777777" w:rsidR="008F7D01" w:rsidRPr="00987CD9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Poštová adresa: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057FC816" w14:textId="77777777" w:rsidR="008F7D01" w:rsidRPr="00987CD9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Kontaktné osoby 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122B9676" w14:textId="77777777" w:rsidR="008F7D01" w:rsidRPr="00987CD9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Telefón: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2D37F5A0" w14:textId="77777777" w:rsidR="008F7D01" w:rsidRPr="00987CD9" w:rsidRDefault="008F7D01" w:rsidP="008F7D01">
      <w:pPr>
        <w:tabs>
          <w:tab w:val="left" w:pos="382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E-mail: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56D6BCE9" w14:textId="77777777" w:rsidR="008F7D01" w:rsidRPr="00987CD9" w:rsidRDefault="008F7D01" w:rsidP="008F7D01">
      <w:pPr>
        <w:tabs>
          <w:tab w:val="left" w:pos="3828"/>
        </w:tabs>
        <w:spacing w:after="480"/>
        <w:rPr>
          <w:rFonts w:ascii="Times New Roman" w:hAnsi="Times New Roman" w:cs="Times New Roman"/>
          <w:sz w:val="24"/>
          <w:szCs w:val="24"/>
        </w:rPr>
      </w:pPr>
      <w:r w:rsidRPr="00987CD9">
        <w:rPr>
          <w:rFonts w:ascii="Times New Roman" w:hAnsi="Times New Roman" w:cs="Times New Roman"/>
          <w:sz w:val="24"/>
          <w:szCs w:val="24"/>
        </w:rPr>
        <w:t>Internetová adresa ak je k dispozícii:</w:t>
      </w:r>
      <w:r w:rsidRPr="00987CD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</w:t>
      </w:r>
    </w:p>
    <w:p w14:paraId="2F19D2A6" w14:textId="0CB309B1" w:rsidR="00DD63B5" w:rsidRPr="00987CD9" w:rsidRDefault="00DD63B5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7878B" w14:textId="5DEC0BB5" w:rsidR="00DD63B5" w:rsidRPr="00987CD9" w:rsidRDefault="00DD63B5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8A0003" w14:textId="202F4417" w:rsidR="006D03F3" w:rsidRPr="00987CD9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3E764" w14:textId="3DE0DAA5" w:rsidR="006D03F3" w:rsidRPr="00987CD9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0B452" w14:textId="45829976" w:rsidR="006D03F3" w:rsidRPr="00987CD9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461E75" w14:textId="230B3922" w:rsidR="006D03F3" w:rsidRPr="00987CD9" w:rsidRDefault="006D03F3" w:rsidP="0086631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EEF762" w14:textId="77777777" w:rsidR="00DD63B5" w:rsidRPr="00987CD9" w:rsidRDefault="00DD63B5" w:rsidP="00DD63B5">
      <w:pPr>
        <w:rPr>
          <w:rFonts w:ascii="Times New Roman" w:hAnsi="Times New Roman" w:cs="Times New Roman"/>
          <w:b/>
          <w:sz w:val="24"/>
          <w:szCs w:val="24"/>
        </w:rPr>
      </w:pPr>
    </w:p>
    <w:p w14:paraId="0B776755" w14:textId="4E031C33" w:rsidR="00DD63B5" w:rsidRDefault="00DD63B5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D9D67" w14:textId="6A6C6031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32798" w14:textId="2602CC5C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6AC9A" w14:textId="01F87F38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530B5" w14:textId="0BA0B377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18C7C" w14:textId="4F4749FC" w:rsidR="00B05010" w:rsidRDefault="00B0501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E39AF" w14:textId="51B68E06" w:rsidR="00B05010" w:rsidRDefault="00B0501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735C16" w14:textId="5BA0A503" w:rsidR="0026663B" w:rsidRDefault="0026663B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748F2" w14:textId="57919749" w:rsidR="0026663B" w:rsidRDefault="0026663B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5BC97" w14:textId="6BC7A5E6" w:rsidR="00D10F61" w:rsidRDefault="00D10F61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4556C" w14:textId="23BE0D97" w:rsidR="00A819DB" w:rsidRDefault="00A819DB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C2F46" w14:textId="77777777" w:rsidR="00A819DB" w:rsidRDefault="00A819DB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990585" w14:textId="0F759EA1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33BC4" w14:textId="1F296C52" w:rsidR="00751FA0" w:rsidRDefault="00751FA0" w:rsidP="00866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2</w:t>
      </w:r>
    </w:p>
    <w:p w14:paraId="132D5358" w14:textId="4CE30A5E" w:rsidR="00751FA0" w:rsidRDefault="00751FA0" w:rsidP="009852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11A937" w14:textId="769B5DB9" w:rsidR="00751FA0" w:rsidRDefault="00985292" w:rsidP="009852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Indikatívna cenová ponuka</w:t>
      </w:r>
    </w:p>
    <w:tbl>
      <w:tblPr>
        <w:tblW w:w="86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1134"/>
      </w:tblGrid>
      <w:tr w:rsidR="00A85B48" w:rsidRPr="00FC61E7" w14:paraId="47A56B57" w14:textId="34FA7A67" w:rsidTr="00A85B48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056A467" w14:textId="77777777" w:rsidR="00A85B48" w:rsidRPr="00A85B48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Názov licencie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6EDB0D3" w14:textId="77777777" w:rsidR="00A85B48" w:rsidRPr="00A85B48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2A2F5EC3" w14:textId="4E1D075C" w:rsidR="00A85B48" w:rsidRPr="00A85B48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48">
              <w:rPr>
                <w:rFonts w:ascii="Times New Roman" w:hAnsi="Times New Roman" w:cs="Times New Roman"/>
                <w:sz w:val="20"/>
                <w:szCs w:val="20"/>
              </w:rPr>
              <w:t>Jednotková cena bez DPH 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8367FB0" w14:textId="06787601" w:rsidR="00A85B48" w:rsidRPr="00A85B48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5B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 celkom bez DPH v eur</w:t>
            </w:r>
          </w:p>
        </w:tc>
      </w:tr>
      <w:tr w:rsidR="00A85B48" w:rsidRPr="00FC61E7" w14:paraId="7B389DC3" w14:textId="7A3C8945" w:rsidTr="00A85B48">
        <w:trPr>
          <w:trHeight w:val="3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B688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VMware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vSphere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7 Enterprise Plus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processor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License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(licencia pre jeden fyzický procesor/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socket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) alebo ekvivalent splňujúci rovnakú alebo lepšiu kompatibilitu a funkcionalitu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55A5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5144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B05C9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85B48" w:rsidRPr="00FC61E7" w14:paraId="62FAD612" w14:textId="1B14FDE2" w:rsidTr="00A85B48">
        <w:trPr>
          <w:trHeight w:val="29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47BD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VMware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vSphere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7 Enterprise Plus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processor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3Yr S&amp;S (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support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pre jeden fyzický procesor/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socket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>) alebo ekvivalent splňujúci rovnakú alebo lepšiu kompatibilitu a funkcionalitu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E7E9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04F6B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C7D6E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85B48" w:rsidRPr="00FC61E7" w14:paraId="75425A5E" w14:textId="580F2832" w:rsidTr="00A85B48">
        <w:trPr>
          <w:trHeight w:val="44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35744" w14:textId="77777777" w:rsidR="00A85B48" w:rsidRPr="000313BA" w:rsidRDefault="00A85B48" w:rsidP="00267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VMware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vCenter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Server 7 Standard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vSphere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7 (Per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Instance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License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(pre jednu inštanciu)</w:t>
            </w:r>
          </w:p>
          <w:p w14:paraId="5167A6AA" w14:textId="77777777" w:rsidR="00A85B48" w:rsidRPr="000313BA" w:rsidRDefault="00A85B48" w:rsidP="00267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alebo ekvivalent splňujúci rovnakú alebo lepšiu kompatibilitu a funkcionalitu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B53B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7816E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5E58C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85B48" w:rsidRPr="00FC61E7" w14:paraId="655D1627" w14:textId="48AD92A0" w:rsidTr="00A85B48">
        <w:trPr>
          <w:trHeight w:val="27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C25C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VMware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vCenter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Server 7 Standard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for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vSphere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7 (Per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Instance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>) 3Yr S&amp;S (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support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pre jednu inštanciu) alebo ekvivalent splňujúci rovnakú alebo lepšiu kompatibilitu a funkcionalitu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00CA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C9B05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ED7D2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85B48" w:rsidRPr="00FC61E7" w14:paraId="1284EFAA" w14:textId="4913D8CC" w:rsidTr="00A85B48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CF07" w14:textId="77777777" w:rsidR="00A85B48" w:rsidRPr="000313BA" w:rsidRDefault="00A85B48" w:rsidP="00267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Veeam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Availability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Suite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Uni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Lic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- 3Y SUBS (licencia na 3 roky pre 3x10 objektov/VM na zálohovanie)</w:t>
            </w:r>
          </w:p>
          <w:p w14:paraId="753E18DB" w14:textId="77777777" w:rsidR="00A85B48" w:rsidRPr="000313BA" w:rsidRDefault="00A85B48" w:rsidP="00267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alebo ekvivalent splňujúci rovnakú alebo lepšiu kompatibilitu a funkcionalitu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772D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D2D0E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EA18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85B48" w:rsidRPr="00FC61E7" w14:paraId="2D99E897" w14:textId="5B3237F9" w:rsidTr="00A85B48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F8F8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 xml:space="preserve">Windows Server 2022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Datacenter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ROK (16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core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) -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MultiLang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Datacentrová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licencia Windows server 2022 pre 3x16 CPU jadier) – ekvivalent sa neumožňuje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FC04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42F81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A2958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85B48" w:rsidRPr="00FC61E7" w14:paraId="111FE2A1" w14:textId="36104109" w:rsidTr="00A85B48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B91C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 xml:space="preserve">Windows Server 2022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Datacenter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Additional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License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(2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core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) (rozšírenie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Datacentrovej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licencie Windows server 2022 pre ďalších 2x24 CPU jadier) - ekvivalent sa neumožňuje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08E4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BAB79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BC3AC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85B48" w:rsidRPr="00FC61E7" w14:paraId="77B177C4" w14:textId="0F662A91" w:rsidTr="00A85B48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FF20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 xml:space="preserve">Microsoft Windows Server 2022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Client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Access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License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(10 User) (Prístupové licencie pre Windows server 2022 v počte 10 používateľov) - ekvivalent sa neumožňuje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30CA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1650D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BB22C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85B48" w:rsidRPr="00FC61E7" w14:paraId="14396032" w14:textId="286799D7" w:rsidTr="00A85B48">
        <w:trPr>
          <w:trHeight w:val="6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97DB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 xml:space="preserve">Microsoft Windows Server 2022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Client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Access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License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(50 User)  (Prístupové licencie pre Windows server 2022 v počte 2x50 používateľov) - ekvivalent sa neumožňuje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9DEE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AA8E2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58681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85B48" w:rsidRPr="00FC61E7" w14:paraId="02B38C1E" w14:textId="6D98E687" w:rsidTr="00A85B48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227F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 xml:space="preserve">Windows Server 2022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Remote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Desktop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Services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Client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Access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License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 xml:space="preserve"> (50 User) (Terminálové licencie pre </w:t>
            </w:r>
            <w:r w:rsidRPr="000313BA">
              <w:rPr>
                <w:rFonts w:ascii="Times New Roman" w:hAnsi="Times New Roman" w:cs="Times New Roman"/>
                <w:color w:val="000000"/>
              </w:rPr>
              <w:lastRenderedPageBreak/>
              <w:t>Windows server 2022 v počte 2x50 používateľov) - ekvivalent sa neumožňuje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5527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9D21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0C880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A85B48" w:rsidRPr="00FC61E7" w14:paraId="41C1EEFD" w14:textId="28B2A9B2" w:rsidTr="000313BA">
        <w:trPr>
          <w:trHeight w:val="44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114C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 xml:space="preserve">SQL Server 2019 Standard (2 </w:t>
            </w:r>
            <w:proofErr w:type="spellStart"/>
            <w:r w:rsidRPr="000313BA">
              <w:rPr>
                <w:rFonts w:ascii="Times New Roman" w:hAnsi="Times New Roman" w:cs="Times New Roman"/>
                <w:color w:val="000000"/>
              </w:rPr>
              <w:t>cores</w:t>
            </w:r>
            <w:proofErr w:type="spellEnd"/>
            <w:r w:rsidRPr="000313BA">
              <w:rPr>
                <w:rFonts w:ascii="Times New Roman" w:hAnsi="Times New Roman" w:cs="Times New Roman"/>
                <w:color w:val="000000"/>
              </w:rPr>
              <w:t>) (Microsoft SQL licencie pre 3x2 CPU jadier) - ekvivalent sa neumožňuje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6582" w14:textId="77777777" w:rsidR="00A85B48" w:rsidRPr="000313BA" w:rsidRDefault="00A85B48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DE8E1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4DAB8" w14:textId="77777777" w:rsidR="00A85B48" w:rsidRPr="00FC61E7" w:rsidRDefault="00A85B48" w:rsidP="00267EED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0313BA" w:rsidRPr="00FC61E7" w14:paraId="137E8A1C" w14:textId="77777777" w:rsidTr="00F325ED">
        <w:trPr>
          <w:trHeight w:val="440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84E6E" w14:textId="0133822D" w:rsidR="000313BA" w:rsidRPr="000313BA" w:rsidRDefault="000313BA" w:rsidP="00267EE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13BA">
              <w:rPr>
                <w:rFonts w:ascii="Times New Roman" w:hAnsi="Times New Roman" w:cs="Times New Roman"/>
                <w:color w:val="000000"/>
              </w:rPr>
              <w:t>Cena celkom za predmet zákazky bez DPH 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5BDC8" w14:textId="77777777" w:rsidR="000313BA" w:rsidRPr="00FC61E7" w:rsidRDefault="000313BA" w:rsidP="00267EED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14:paraId="228A6472" w14:textId="77777777" w:rsidR="001A1DC8" w:rsidRDefault="001A1DC8" w:rsidP="00E9602E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eastAsia="Calibri" w:hAnsi="Times New Roman" w:cs="Times New Roman"/>
          <w:b/>
          <w:spacing w:val="-10"/>
          <w:sz w:val="24"/>
          <w:szCs w:val="24"/>
          <w:lang w:eastAsia="sk-SK"/>
        </w:rPr>
      </w:pPr>
    </w:p>
    <w:p w14:paraId="4F553E27" w14:textId="143E3E3B" w:rsidR="000B4980" w:rsidRDefault="000B4980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40CBC" w14:textId="0F0FC505" w:rsidR="00FC0D3D" w:rsidRDefault="004414FE" w:rsidP="00866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</w:t>
      </w:r>
      <w:r w:rsidR="000313B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BAE9BF6" w14:textId="77777777" w:rsidR="00FC0D3D" w:rsidRDefault="00FC0D3D" w:rsidP="008663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589B0" w14:textId="79D090CB" w:rsidR="004414FE" w:rsidRPr="00987CD9" w:rsidRDefault="004414FE" w:rsidP="008663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</w:t>
      </w:r>
    </w:p>
    <w:sectPr w:rsidR="004414FE" w:rsidRPr="0098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C2B9" w14:textId="77777777" w:rsidR="000130BE" w:rsidRDefault="000130BE" w:rsidP="008F7D01">
      <w:pPr>
        <w:spacing w:after="0" w:line="240" w:lineRule="auto"/>
      </w:pPr>
      <w:r>
        <w:separator/>
      </w:r>
    </w:p>
  </w:endnote>
  <w:endnote w:type="continuationSeparator" w:id="0">
    <w:p w14:paraId="73E0826D" w14:textId="77777777" w:rsidR="000130BE" w:rsidRDefault="000130BE" w:rsidP="008F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D8B0" w14:textId="77777777" w:rsidR="000130BE" w:rsidRDefault="000130BE" w:rsidP="008F7D01">
      <w:pPr>
        <w:spacing w:after="0" w:line="240" w:lineRule="auto"/>
      </w:pPr>
      <w:r>
        <w:separator/>
      </w:r>
    </w:p>
  </w:footnote>
  <w:footnote w:type="continuationSeparator" w:id="0">
    <w:p w14:paraId="77350CF4" w14:textId="77777777" w:rsidR="000130BE" w:rsidRDefault="000130BE" w:rsidP="008F7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177C"/>
    <w:multiLevelType w:val="hybridMultilevel"/>
    <w:tmpl w:val="25EE8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4550E"/>
    <w:multiLevelType w:val="hybridMultilevel"/>
    <w:tmpl w:val="95D0F058"/>
    <w:lvl w:ilvl="0" w:tplc="1442A3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53F7B"/>
    <w:multiLevelType w:val="hybridMultilevel"/>
    <w:tmpl w:val="E67001EC"/>
    <w:lvl w:ilvl="0" w:tplc="6AEA1F7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07881337">
    <w:abstractNumId w:val="0"/>
  </w:num>
  <w:num w:numId="2" w16cid:durableId="862784529">
    <w:abstractNumId w:val="3"/>
  </w:num>
  <w:num w:numId="3" w16cid:durableId="888758531">
    <w:abstractNumId w:val="1"/>
  </w:num>
  <w:num w:numId="4" w16cid:durableId="164176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A"/>
    <w:rsid w:val="000130BE"/>
    <w:rsid w:val="0001771A"/>
    <w:rsid w:val="000313BA"/>
    <w:rsid w:val="000660EB"/>
    <w:rsid w:val="0008623E"/>
    <w:rsid w:val="00086D5B"/>
    <w:rsid w:val="00091D9E"/>
    <w:rsid w:val="000B4980"/>
    <w:rsid w:val="000B671A"/>
    <w:rsid w:val="000C7AC2"/>
    <w:rsid w:val="000D1203"/>
    <w:rsid w:val="000D15E8"/>
    <w:rsid w:val="001153F7"/>
    <w:rsid w:val="001201E4"/>
    <w:rsid w:val="00176814"/>
    <w:rsid w:val="001821C7"/>
    <w:rsid w:val="001A1DC8"/>
    <w:rsid w:val="001A5890"/>
    <w:rsid w:val="001B0CD7"/>
    <w:rsid w:val="001B3843"/>
    <w:rsid w:val="001F04A1"/>
    <w:rsid w:val="001F470F"/>
    <w:rsid w:val="001F77B7"/>
    <w:rsid w:val="002022EB"/>
    <w:rsid w:val="002545EC"/>
    <w:rsid w:val="00263CED"/>
    <w:rsid w:val="0026663B"/>
    <w:rsid w:val="00276EFD"/>
    <w:rsid w:val="002D00DA"/>
    <w:rsid w:val="00327C61"/>
    <w:rsid w:val="00363712"/>
    <w:rsid w:val="00392539"/>
    <w:rsid w:val="00397748"/>
    <w:rsid w:val="003E2C08"/>
    <w:rsid w:val="003E2D6A"/>
    <w:rsid w:val="003E5A2F"/>
    <w:rsid w:val="003F1FD4"/>
    <w:rsid w:val="003F3CCF"/>
    <w:rsid w:val="00400705"/>
    <w:rsid w:val="00421627"/>
    <w:rsid w:val="00427A5B"/>
    <w:rsid w:val="004372DE"/>
    <w:rsid w:val="004414FE"/>
    <w:rsid w:val="00444B20"/>
    <w:rsid w:val="00444C3C"/>
    <w:rsid w:val="00472EFC"/>
    <w:rsid w:val="0050383C"/>
    <w:rsid w:val="00504881"/>
    <w:rsid w:val="00515683"/>
    <w:rsid w:val="00521B89"/>
    <w:rsid w:val="0054556C"/>
    <w:rsid w:val="00583FFD"/>
    <w:rsid w:val="00587F2A"/>
    <w:rsid w:val="005A15AA"/>
    <w:rsid w:val="005A2445"/>
    <w:rsid w:val="005A5599"/>
    <w:rsid w:val="005D4ECD"/>
    <w:rsid w:val="005E2A74"/>
    <w:rsid w:val="0061039C"/>
    <w:rsid w:val="006142D0"/>
    <w:rsid w:val="006154F3"/>
    <w:rsid w:val="006168AA"/>
    <w:rsid w:val="006177C0"/>
    <w:rsid w:val="00617872"/>
    <w:rsid w:val="0061791E"/>
    <w:rsid w:val="0064189C"/>
    <w:rsid w:val="006635B4"/>
    <w:rsid w:val="0069625E"/>
    <w:rsid w:val="00696471"/>
    <w:rsid w:val="006A755B"/>
    <w:rsid w:val="006B4761"/>
    <w:rsid w:val="006B4992"/>
    <w:rsid w:val="006D03F3"/>
    <w:rsid w:val="006D759C"/>
    <w:rsid w:val="006D7BB0"/>
    <w:rsid w:val="00711894"/>
    <w:rsid w:val="007135A9"/>
    <w:rsid w:val="00717EFA"/>
    <w:rsid w:val="00721B20"/>
    <w:rsid w:val="007421B1"/>
    <w:rsid w:val="00751FA0"/>
    <w:rsid w:val="00756F90"/>
    <w:rsid w:val="00763B2A"/>
    <w:rsid w:val="00781C91"/>
    <w:rsid w:val="007E74CC"/>
    <w:rsid w:val="007E7A48"/>
    <w:rsid w:val="008126D2"/>
    <w:rsid w:val="0082158B"/>
    <w:rsid w:val="00832CB8"/>
    <w:rsid w:val="00866313"/>
    <w:rsid w:val="00867855"/>
    <w:rsid w:val="0089447F"/>
    <w:rsid w:val="008B31A7"/>
    <w:rsid w:val="008B3864"/>
    <w:rsid w:val="008B66B4"/>
    <w:rsid w:val="008D2C60"/>
    <w:rsid w:val="008E2EDE"/>
    <w:rsid w:val="008F38CC"/>
    <w:rsid w:val="008F7D01"/>
    <w:rsid w:val="00902B7D"/>
    <w:rsid w:val="00912E9B"/>
    <w:rsid w:val="00926654"/>
    <w:rsid w:val="0092693F"/>
    <w:rsid w:val="009541DB"/>
    <w:rsid w:val="00955B55"/>
    <w:rsid w:val="0096386D"/>
    <w:rsid w:val="00967393"/>
    <w:rsid w:val="009777B1"/>
    <w:rsid w:val="00985292"/>
    <w:rsid w:val="00987CD9"/>
    <w:rsid w:val="009E098A"/>
    <w:rsid w:val="009E6E6E"/>
    <w:rsid w:val="009F3339"/>
    <w:rsid w:val="00A17C4F"/>
    <w:rsid w:val="00A42626"/>
    <w:rsid w:val="00A542F2"/>
    <w:rsid w:val="00A61A96"/>
    <w:rsid w:val="00A64BAB"/>
    <w:rsid w:val="00A7186B"/>
    <w:rsid w:val="00A819DB"/>
    <w:rsid w:val="00A84A29"/>
    <w:rsid w:val="00A85B48"/>
    <w:rsid w:val="00AA0947"/>
    <w:rsid w:val="00AA6589"/>
    <w:rsid w:val="00AB5764"/>
    <w:rsid w:val="00AC18E0"/>
    <w:rsid w:val="00AC6E9C"/>
    <w:rsid w:val="00B05010"/>
    <w:rsid w:val="00B14893"/>
    <w:rsid w:val="00B1664D"/>
    <w:rsid w:val="00B169FD"/>
    <w:rsid w:val="00B220DC"/>
    <w:rsid w:val="00B642FB"/>
    <w:rsid w:val="00B8764A"/>
    <w:rsid w:val="00B955A4"/>
    <w:rsid w:val="00BB1D88"/>
    <w:rsid w:val="00BB2658"/>
    <w:rsid w:val="00BB3AF5"/>
    <w:rsid w:val="00BC0341"/>
    <w:rsid w:val="00C12923"/>
    <w:rsid w:val="00C329EA"/>
    <w:rsid w:val="00C707AD"/>
    <w:rsid w:val="00C71191"/>
    <w:rsid w:val="00CC7017"/>
    <w:rsid w:val="00D10F61"/>
    <w:rsid w:val="00D12BCA"/>
    <w:rsid w:val="00D169B4"/>
    <w:rsid w:val="00D21A9D"/>
    <w:rsid w:val="00D74AFE"/>
    <w:rsid w:val="00D77E6A"/>
    <w:rsid w:val="00DD63B5"/>
    <w:rsid w:val="00DF3B13"/>
    <w:rsid w:val="00E07172"/>
    <w:rsid w:val="00E21C10"/>
    <w:rsid w:val="00E31227"/>
    <w:rsid w:val="00E47070"/>
    <w:rsid w:val="00E60FB2"/>
    <w:rsid w:val="00E62789"/>
    <w:rsid w:val="00E9602E"/>
    <w:rsid w:val="00E97A73"/>
    <w:rsid w:val="00EA0A2D"/>
    <w:rsid w:val="00EA319E"/>
    <w:rsid w:val="00EC3AC3"/>
    <w:rsid w:val="00EF6B66"/>
    <w:rsid w:val="00F63B81"/>
    <w:rsid w:val="00F75F1D"/>
    <w:rsid w:val="00FC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8F2F9F"/>
  <w15:chartTrackingRefBased/>
  <w15:docId w15:val="{F1677F9F-0E3F-4369-BD3C-6739EEFC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F7D01"/>
    <w:pPr>
      <w:keepNext/>
      <w:keepLines/>
      <w:spacing w:before="100" w:beforeAutospacing="1" w:after="100" w:afterAutospacing="1" w:line="276" w:lineRule="auto"/>
      <w:contextualSpacing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B49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B49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B49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54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541D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541D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DD63B5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8F7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F7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F7D0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F7D01"/>
    <w:rPr>
      <w:rFonts w:ascii="Times New Roman" w:hAnsi="Times New Roman" w:cs="Times New Roman" w:hint="default"/>
      <w:vertAlign w:val="superscript"/>
    </w:rPr>
  </w:style>
  <w:style w:type="table" w:styleId="Mriekatabuky">
    <w:name w:val="Table Grid"/>
    <w:basedOn w:val="Normlnatabuka"/>
    <w:uiPriority w:val="39"/>
    <w:rsid w:val="00AC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E74CC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A85B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85B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85B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7FEB-E6B5-49FA-9C97-4E716471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Kavčiaková</dc:creator>
  <cp:keywords/>
  <dc:description/>
  <cp:lastModifiedBy>Ing. Janka Kavčiaková</cp:lastModifiedBy>
  <cp:revision>61</cp:revision>
  <dcterms:created xsi:type="dcterms:W3CDTF">2022-06-14T09:04:00Z</dcterms:created>
  <dcterms:modified xsi:type="dcterms:W3CDTF">2022-08-25T20:58:00Z</dcterms:modified>
</cp:coreProperties>
</file>