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B4F6210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2628E1" w:rsidRPr="002628E1">
        <w:rPr>
          <w:rFonts w:ascii="Times New Roman" w:eastAsia="Calibri" w:hAnsi="Times New Roman"/>
          <w:b/>
          <w:noProof w:val="0"/>
          <w:szCs w:val="22"/>
          <w:lang w:eastAsia="en-US"/>
        </w:rPr>
        <w:t>Ultrazvukový prístroj pre neonatologickú kliniku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CB8288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84076" w:rsidRPr="00484076">
        <w:rPr>
          <w:rFonts w:ascii="Times New Roman" w:eastAsia="Calibri" w:hAnsi="Times New Roman"/>
          <w:noProof w:val="0"/>
          <w:szCs w:val="22"/>
          <w:lang w:eastAsia="en-US"/>
        </w:rPr>
        <w:t>Ultrazvukový prístroj pre neonatologickú kliniku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ACA07A2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F8769C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bezodkadne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628E1"/>
    <w:rsid w:val="00270767"/>
    <w:rsid w:val="00273E0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84076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8769C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4842</Words>
  <Characters>27604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16</cp:revision>
  <cp:lastPrinted>2021-01-12T09:53:00Z</cp:lastPrinted>
  <dcterms:created xsi:type="dcterms:W3CDTF">2022-03-18T08:51:00Z</dcterms:created>
  <dcterms:modified xsi:type="dcterms:W3CDTF">2022-08-30T12:31:00Z</dcterms:modified>
</cp:coreProperties>
</file>