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55128698" w:rsidR="00C647DD" w:rsidRPr="00627999" w:rsidRDefault="002D46EF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19</w:t>
            </w:r>
            <w:r w:rsidR="00C647DD"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="00C647DD"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="00C647DD"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="00C647DD"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68857859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súťažných podkladov </w:t>
      </w:r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2ACABAE8" w:rsidR="00C647DD" w:rsidRDefault="002D46EF" w:rsidP="00C647D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dňa 18.04.2019 prijal žiadosť o vysvetlenie súťažných podkladov.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028AF2CF" w14:textId="29B0B03F" w:rsidR="00A4211F" w:rsidRDefault="00A4211F" w:rsidP="00A4211F">
      <w:pPr>
        <w:spacing w:before="83"/>
        <w:ind w:left="216"/>
        <w:rPr>
          <w:b/>
          <w:color w:val="161616"/>
          <w:w w:val="105"/>
          <w:sz w:val="18"/>
        </w:rPr>
      </w:pPr>
      <w:r w:rsidRPr="00A4211F">
        <w:rPr>
          <w:b/>
          <w:color w:val="161616"/>
          <w:w w:val="105"/>
          <w:sz w:val="18"/>
          <w:u w:val="thick" w:color="161616"/>
        </w:rPr>
        <w:t xml:space="preserve">Verejný </w:t>
      </w:r>
      <w:proofErr w:type="spellStart"/>
      <w:r w:rsidRPr="00A4211F">
        <w:rPr>
          <w:b/>
          <w:color w:val="161616"/>
          <w:w w:val="105"/>
          <w:sz w:val="18"/>
          <w:u w:val="thick" w:color="161616"/>
        </w:rPr>
        <w:t>obstarávatel</w:t>
      </w:r>
      <w:proofErr w:type="spellEnd"/>
      <w:r w:rsidRPr="00A4211F">
        <w:rPr>
          <w:b/>
          <w:color w:val="161616"/>
          <w:w w:val="105"/>
          <w:sz w:val="18"/>
          <w:u w:val="thick" w:color="161616"/>
        </w:rPr>
        <w:t>' uvádza v prílohe č.1 Špecifikácia predmetu zákazky následne</w:t>
      </w:r>
      <w:r w:rsidRPr="00A4211F">
        <w:rPr>
          <w:b/>
          <w:color w:val="161616"/>
          <w:w w:val="105"/>
          <w:sz w:val="18"/>
        </w:rPr>
        <w:t>:</w:t>
      </w:r>
    </w:p>
    <w:p w14:paraId="69CCEEF8" w14:textId="77777777" w:rsidR="00224D27" w:rsidRDefault="00224D27" w:rsidP="00224D27">
      <w:pPr>
        <w:pStyle w:val="Zkladntext"/>
        <w:spacing w:line="300" w:lineRule="auto"/>
        <w:ind w:right="534"/>
        <w:rPr>
          <w:color w:val="161616"/>
          <w:w w:val="105"/>
          <w:lang w:val="sk-SK"/>
        </w:rPr>
      </w:pPr>
    </w:p>
    <w:p w14:paraId="5C7B28AE" w14:textId="77777777" w:rsidR="00224D27" w:rsidRDefault="00224D27" w:rsidP="00224D27">
      <w:pPr>
        <w:pStyle w:val="Zkladntext"/>
        <w:spacing w:line="300" w:lineRule="auto"/>
        <w:ind w:right="534"/>
        <w:rPr>
          <w:color w:val="161616"/>
          <w:w w:val="105"/>
          <w:lang w:val="sk-SK"/>
        </w:rPr>
      </w:pPr>
    </w:p>
    <w:p w14:paraId="1AB49B4A" w14:textId="75F8950E" w:rsidR="00A4211F" w:rsidRPr="00A4211F" w:rsidRDefault="00A4211F" w:rsidP="00224D27">
      <w:pPr>
        <w:pStyle w:val="Zkladntext"/>
        <w:spacing w:line="300" w:lineRule="auto"/>
        <w:ind w:right="534"/>
        <w:rPr>
          <w:lang w:val="sk-SK"/>
        </w:rPr>
      </w:pPr>
      <w:r w:rsidRPr="00A4211F">
        <w:rPr>
          <w:color w:val="161616"/>
          <w:w w:val="105"/>
          <w:lang w:val="sk-SK"/>
        </w:rPr>
        <w:t>Nemožnosť úplne</w:t>
      </w:r>
      <w:r w:rsidRPr="00A4211F">
        <w:rPr>
          <w:color w:val="161616"/>
          <w:spacing w:val="-8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vypnúť</w:t>
      </w:r>
      <w:r w:rsidRPr="00A4211F">
        <w:rPr>
          <w:color w:val="161616"/>
          <w:spacing w:val="-11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prístroj</w:t>
      </w:r>
      <w:r w:rsidRPr="00A4211F">
        <w:rPr>
          <w:color w:val="161616"/>
          <w:spacing w:val="-8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ak</w:t>
      </w:r>
      <w:r w:rsidRPr="00A4211F">
        <w:rPr>
          <w:color w:val="161616"/>
          <w:spacing w:val="-7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je</w:t>
      </w:r>
      <w:r w:rsidRPr="00A4211F">
        <w:rPr>
          <w:color w:val="161616"/>
          <w:spacing w:val="-9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vložený</w:t>
      </w:r>
      <w:r w:rsidRPr="00A4211F">
        <w:rPr>
          <w:color w:val="161616"/>
          <w:spacing w:val="-4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set:</w:t>
      </w:r>
      <w:r w:rsidRPr="00A4211F">
        <w:rPr>
          <w:color w:val="161616"/>
          <w:spacing w:val="-15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áno</w:t>
      </w:r>
      <w:r w:rsidRPr="00A4211F">
        <w:rPr>
          <w:color w:val="161616"/>
          <w:spacing w:val="-2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Z</w:t>
      </w:r>
      <w:r w:rsidRPr="00A4211F">
        <w:rPr>
          <w:color w:val="161616"/>
          <w:spacing w:val="-14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hľadiska</w:t>
      </w:r>
      <w:r w:rsidRPr="00A4211F">
        <w:rPr>
          <w:color w:val="161616"/>
          <w:spacing w:val="-1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bezpečnosti</w:t>
      </w:r>
      <w:r w:rsidRPr="00A4211F">
        <w:rPr>
          <w:color w:val="161616"/>
          <w:spacing w:val="-4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je</w:t>
      </w:r>
      <w:r w:rsidRPr="00A4211F">
        <w:rPr>
          <w:color w:val="161616"/>
          <w:spacing w:val="-11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dôležité</w:t>
      </w:r>
      <w:r w:rsidRPr="00A4211F">
        <w:rPr>
          <w:color w:val="161616"/>
          <w:w w:val="105"/>
          <w:lang w:val="sk-SK"/>
        </w:rPr>
        <w:t>,</w:t>
      </w:r>
      <w:r w:rsidRPr="00A4211F">
        <w:rPr>
          <w:color w:val="161616"/>
          <w:spacing w:val="-5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aby</w:t>
      </w:r>
      <w:r w:rsidRPr="00A4211F">
        <w:rPr>
          <w:color w:val="161616"/>
          <w:spacing w:val="-6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 xml:space="preserve">nebolo možné omylom vypnúť prebiehajúcu </w:t>
      </w:r>
      <w:r w:rsidRPr="00A4211F">
        <w:rPr>
          <w:color w:val="2A2A2A"/>
          <w:w w:val="105"/>
          <w:lang w:val="sk-SK"/>
        </w:rPr>
        <w:t xml:space="preserve">infúziu </w:t>
      </w:r>
      <w:r w:rsidRPr="00A4211F">
        <w:rPr>
          <w:color w:val="161616"/>
          <w:w w:val="105"/>
          <w:lang w:val="sk-SK"/>
        </w:rPr>
        <w:t xml:space="preserve">samotným stisnutím tlačidla OFF a tak omylom vystaviť pacienta nebezpečenstvu (po vypnutí už neprebieha </w:t>
      </w:r>
      <w:r w:rsidRPr="00A4211F">
        <w:rPr>
          <w:color w:val="2A2A2A"/>
          <w:w w:val="105"/>
          <w:lang w:val="sk-SK"/>
        </w:rPr>
        <w:t xml:space="preserve">žiadny </w:t>
      </w:r>
      <w:r w:rsidRPr="00A4211F">
        <w:rPr>
          <w:color w:val="161616"/>
          <w:w w:val="105"/>
          <w:lang w:val="sk-SK"/>
        </w:rPr>
        <w:t xml:space="preserve">alarm, ako pri samotnom prerušení terapie pomocou tlačidla STOP), preto je v infúznych pumpách krok zdvojený- </w:t>
      </w:r>
      <w:r w:rsidRPr="00A4211F">
        <w:rPr>
          <w:color w:val="161616"/>
          <w:w w:val="105"/>
          <w:lang w:val="sk-SK"/>
        </w:rPr>
        <w:t>najskôr</w:t>
      </w:r>
      <w:r w:rsidRPr="00A4211F">
        <w:rPr>
          <w:color w:val="161616"/>
          <w:w w:val="105"/>
          <w:lang w:val="sk-SK"/>
        </w:rPr>
        <w:t xml:space="preserve"> prerušenie terapie </w:t>
      </w:r>
      <w:r w:rsidRPr="00A4211F">
        <w:rPr>
          <w:color w:val="2A2A2A"/>
          <w:w w:val="105"/>
          <w:lang w:val="sk-SK"/>
        </w:rPr>
        <w:t xml:space="preserve">- </w:t>
      </w:r>
      <w:r w:rsidRPr="00A4211F">
        <w:rPr>
          <w:color w:val="161616"/>
          <w:w w:val="105"/>
          <w:lang w:val="sk-SK"/>
        </w:rPr>
        <w:t xml:space="preserve">tlačidla STOP, následne vypnutie pumpy- tlačidlo OFF. U niektorých výrobkov je ale nutné vysunúť infúzny set z pumpy a to napríklad z </w:t>
      </w:r>
      <w:r w:rsidRPr="00A4211F">
        <w:rPr>
          <w:color w:val="161616"/>
          <w:w w:val="105"/>
          <w:lang w:val="sk-SK"/>
        </w:rPr>
        <w:t>dôvodu</w:t>
      </w:r>
      <w:r w:rsidRPr="00A4211F">
        <w:rPr>
          <w:color w:val="161616"/>
          <w:w w:val="105"/>
          <w:lang w:val="sk-SK"/>
        </w:rPr>
        <w:t>, že otvorenie dvierok je riešené elektronicky a preto by po vypnutí prístroja nebolo možné set z pumpy</w:t>
      </w:r>
      <w:r w:rsidRPr="00A4211F">
        <w:rPr>
          <w:color w:val="161616"/>
          <w:spacing w:val="45"/>
          <w:w w:val="105"/>
          <w:lang w:val="sk-SK"/>
        </w:rPr>
        <w:t xml:space="preserve"> </w:t>
      </w:r>
      <w:r w:rsidRPr="00A4211F">
        <w:rPr>
          <w:color w:val="161616"/>
          <w:w w:val="105"/>
          <w:lang w:val="sk-SK"/>
        </w:rPr>
        <w:t>vybrať.</w:t>
      </w:r>
    </w:p>
    <w:p w14:paraId="1DB62F2A" w14:textId="77777777" w:rsidR="00A4211F" w:rsidRPr="00A4211F" w:rsidRDefault="00A4211F" w:rsidP="00A4211F">
      <w:pPr>
        <w:pStyle w:val="Zkladntext"/>
        <w:rPr>
          <w:sz w:val="27"/>
          <w:lang w:val="sk-SK"/>
        </w:rPr>
      </w:pPr>
    </w:p>
    <w:p w14:paraId="713C2A75" w14:textId="77777777" w:rsidR="00A4211F" w:rsidRPr="00A4211F" w:rsidRDefault="00A4211F" w:rsidP="00A4211F">
      <w:pPr>
        <w:spacing w:before="95"/>
        <w:ind w:left="189"/>
        <w:rPr>
          <w:b/>
          <w:sz w:val="18"/>
        </w:rPr>
      </w:pPr>
      <w:r w:rsidRPr="00A4211F">
        <w:rPr>
          <w:b/>
          <w:color w:val="161616"/>
          <w:w w:val="110"/>
          <w:sz w:val="18"/>
          <w:u w:val="thick" w:color="161616"/>
        </w:rPr>
        <w:t>Otázka č.1</w:t>
      </w:r>
      <w:r w:rsidRPr="00A4211F">
        <w:rPr>
          <w:b/>
          <w:color w:val="161616"/>
          <w:w w:val="110"/>
          <w:sz w:val="18"/>
        </w:rPr>
        <w:t>:</w:t>
      </w:r>
    </w:p>
    <w:p w14:paraId="2C35C04B" w14:textId="77777777" w:rsidR="00A4211F" w:rsidRPr="00A4211F" w:rsidRDefault="00A4211F" w:rsidP="00A4211F">
      <w:pPr>
        <w:pStyle w:val="Zkladntext"/>
        <w:spacing w:before="3"/>
        <w:rPr>
          <w:b/>
          <w:sz w:val="16"/>
          <w:lang w:val="sk-SK"/>
        </w:rPr>
      </w:pPr>
    </w:p>
    <w:p w14:paraId="251EC567" w14:textId="6EE5E757" w:rsidR="00A4211F" w:rsidRDefault="00A4211F" w:rsidP="00A4211F">
      <w:pPr>
        <w:pStyle w:val="Zkladntext"/>
        <w:spacing w:line="448" w:lineRule="auto"/>
        <w:ind w:left="185" w:right="637" w:firstLine="7"/>
        <w:rPr>
          <w:color w:val="161616"/>
          <w:w w:val="105"/>
          <w:lang w:val="sk-SK"/>
        </w:rPr>
      </w:pPr>
      <w:r w:rsidRPr="00A4211F">
        <w:rPr>
          <w:color w:val="161616"/>
          <w:w w:val="105"/>
          <w:lang w:val="sk-SK"/>
        </w:rPr>
        <w:t xml:space="preserve">Bude verejný </w:t>
      </w:r>
      <w:r w:rsidRPr="00A4211F">
        <w:rPr>
          <w:color w:val="161616"/>
          <w:w w:val="105"/>
          <w:lang w:val="sk-SK"/>
        </w:rPr>
        <w:t>obstarávateľ</w:t>
      </w:r>
      <w:r w:rsidRPr="00A4211F">
        <w:rPr>
          <w:color w:val="161616"/>
          <w:w w:val="105"/>
          <w:lang w:val="sk-SK"/>
        </w:rPr>
        <w:t xml:space="preserve">' akceptovať riešenie, pri ktorom uchádzač ponúka </w:t>
      </w:r>
      <w:r w:rsidRPr="00A4211F">
        <w:rPr>
          <w:color w:val="2A2A2A"/>
          <w:w w:val="105"/>
          <w:lang w:val="sk-SK"/>
        </w:rPr>
        <w:t xml:space="preserve">infúznu </w:t>
      </w:r>
      <w:r w:rsidRPr="00A4211F">
        <w:rPr>
          <w:color w:val="161616"/>
          <w:w w:val="105"/>
          <w:lang w:val="sk-SK"/>
        </w:rPr>
        <w:t xml:space="preserve">pumpu, ktorú nie je možné vypnúť počas prebiehajúcej infúzie a teda s vloženým setom, ale až po </w:t>
      </w:r>
      <w:r w:rsidRPr="00A4211F">
        <w:rPr>
          <w:color w:val="161616"/>
          <w:w w:val="105"/>
          <w:lang w:val="sk-SK"/>
        </w:rPr>
        <w:t>užívateľom</w:t>
      </w:r>
      <w:r w:rsidRPr="00A4211F">
        <w:rPr>
          <w:color w:val="161616"/>
          <w:w w:val="105"/>
          <w:lang w:val="sk-SK"/>
        </w:rPr>
        <w:t xml:space="preserve"> vedomom zastavení infúzie </w:t>
      </w:r>
      <w:r w:rsidRPr="00A4211F">
        <w:rPr>
          <w:color w:val="2A2A2A"/>
          <w:w w:val="105"/>
          <w:lang w:val="sk-SK"/>
        </w:rPr>
        <w:t xml:space="preserve">tlačidlom </w:t>
      </w:r>
      <w:r w:rsidRPr="00A4211F">
        <w:rPr>
          <w:color w:val="161616"/>
          <w:w w:val="105"/>
          <w:lang w:val="sk-SK"/>
        </w:rPr>
        <w:t>STOP?</w:t>
      </w:r>
    </w:p>
    <w:p w14:paraId="04E8DA70" w14:textId="7410A877" w:rsidR="00224D27" w:rsidRDefault="00224D27" w:rsidP="00A4211F">
      <w:pPr>
        <w:pStyle w:val="Zkladntext"/>
        <w:spacing w:line="448" w:lineRule="auto"/>
        <w:ind w:left="185" w:right="637" w:firstLine="7"/>
        <w:rPr>
          <w:color w:val="161616"/>
          <w:w w:val="105"/>
          <w:lang w:val="sk-SK"/>
        </w:rPr>
      </w:pPr>
    </w:p>
    <w:p w14:paraId="4DF0DE4F" w14:textId="04EFE563" w:rsidR="00224D27" w:rsidRPr="00224D27" w:rsidRDefault="00224D27" w:rsidP="00224D27">
      <w:pPr>
        <w:spacing w:after="200" w:line="276" w:lineRule="auto"/>
        <w:jc w:val="both"/>
        <w:rPr>
          <w:rFonts w:ascii="Arial Narrow" w:hAnsi="Arial Narrow"/>
          <w:b/>
        </w:rPr>
      </w:pPr>
      <w:r w:rsidRPr="00224D27">
        <w:rPr>
          <w:rFonts w:ascii="Arial Narrow" w:hAnsi="Arial Narrow"/>
          <w:b/>
        </w:rPr>
        <w:t>Odpoveď:</w:t>
      </w:r>
      <w:r>
        <w:rPr>
          <w:rFonts w:ascii="Arial Narrow" w:hAnsi="Arial Narrow"/>
          <w:b/>
        </w:rPr>
        <w:t xml:space="preserve"> </w:t>
      </w:r>
      <w:r w:rsidRPr="00224D27">
        <w:rPr>
          <w:rFonts w:ascii="Arial Narrow" w:hAnsi="Arial Narrow"/>
          <w:b/>
          <w:bCs/>
        </w:rPr>
        <w:t>Áno, verejný obstarávateľ bude akceptovať aj takéto riešenie tohto parametra.</w:t>
      </w:r>
    </w:p>
    <w:p w14:paraId="2887D730" w14:textId="77777777" w:rsidR="00A4211F" w:rsidRPr="00A4211F" w:rsidRDefault="00A4211F" w:rsidP="00A4211F">
      <w:pPr>
        <w:pStyle w:val="Zkladntext"/>
        <w:spacing w:before="10"/>
        <w:rPr>
          <w:sz w:val="26"/>
          <w:lang w:val="sk-SK"/>
        </w:rPr>
      </w:pPr>
    </w:p>
    <w:p w14:paraId="7E570CF3" w14:textId="77777777" w:rsidR="00A4211F" w:rsidRPr="00A4211F" w:rsidRDefault="00A4211F" w:rsidP="00A4211F">
      <w:pPr>
        <w:spacing w:before="95"/>
        <w:ind w:left="183"/>
        <w:rPr>
          <w:b/>
          <w:sz w:val="18"/>
        </w:rPr>
      </w:pPr>
      <w:r w:rsidRPr="00A4211F">
        <w:rPr>
          <w:b/>
          <w:color w:val="161616"/>
          <w:w w:val="105"/>
          <w:sz w:val="18"/>
          <w:u w:val="thick" w:color="161616"/>
        </w:rPr>
        <w:t xml:space="preserve">Verejný </w:t>
      </w:r>
      <w:proofErr w:type="spellStart"/>
      <w:r w:rsidRPr="00A4211F">
        <w:rPr>
          <w:b/>
          <w:color w:val="161616"/>
          <w:w w:val="105"/>
          <w:sz w:val="18"/>
          <w:u w:val="thick" w:color="161616"/>
        </w:rPr>
        <w:t>obstarávatel</w:t>
      </w:r>
      <w:proofErr w:type="spellEnd"/>
      <w:r w:rsidRPr="00A4211F">
        <w:rPr>
          <w:b/>
          <w:color w:val="161616"/>
          <w:w w:val="105"/>
          <w:sz w:val="18"/>
          <w:u w:val="thick" w:color="161616"/>
        </w:rPr>
        <w:t>' uvádza v prílohe č.1 Špecifikácia predmetu zákazky následne</w:t>
      </w:r>
      <w:r w:rsidRPr="00A4211F">
        <w:rPr>
          <w:b/>
          <w:color w:val="161616"/>
          <w:w w:val="105"/>
          <w:sz w:val="18"/>
        </w:rPr>
        <w:t>:</w:t>
      </w:r>
    </w:p>
    <w:p w14:paraId="6C98AF2D" w14:textId="77777777" w:rsidR="00A4211F" w:rsidRPr="00A4211F" w:rsidRDefault="00A4211F" w:rsidP="00A4211F">
      <w:pPr>
        <w:pStyle w:val="Zkladntext"/>
        <w:spacing w:before="9"/>
        <w:rPr>
          <w:b/>
          <w:sz w:val="15"/>
          <w:lang w:val="sk-SK"/>
        </w:rPr>
      </w:pPr>
    </w:p>
    <w:p w14:paraId="00C4C607" w14:textId="77777777" w:rsidR="00A4211F" w:rsidRPr="00A4211F" w:rsidRDefault="00A4211F" w:rsidP="00A4211F">
      <w:pPr>
        <w:pStyle w:val="Zkladntext"/>
        <w:ind w:left="159"/>
        <w:rPr>
          <w:lang w:val="sk-SK"/>
        </w:rPr>
      </w:pPr>
      <w:r w:rsidRPr="00A4211F">
        <w:rPr>
          <w:color w:val="161616"/>
          <w:lang w:val="sk-SK"/>
        </w:rPr>
        <w:t>Centrálne svetelné a akustické zobrazenie stavu podávania púmp a alarmov.</w:t>
      </w:r>
    </w:p>
    <w:p w14:paraId="17EDA1A9" w14:textId="6E779622" w:rsidR="00A4211F" w:rsidRPr="00A4211F" w:rsidRDefault="00A4211F" w:rsidP="00A4211F">
      <w:pPr>
        <w:pStyle w:val="Zkladntext"/>
        <w:spacing w:before="50" w:line="295" w:lineRule="auto"/>
        <w:ind w:left="160" w:right="534" w:firstLine="3"/>
        <w:rPr>
          <w:lang w:val="sk-SK"/>
        </w:rPr>
      </w:pPr>
      <w:proofErr w:type="spellStart"/>
      <w:r w:rsidRPr="00A4211F">
        <w:rPr>
          <w:color w:val="161616"/>
          <w:w w:val="105"/>
          <w:lang w:val="sk-SK"/>
        </w:rPr>
        <w:t>Dokovacia</w:t>
      </w:r>
      <w:proofErr w:type="spellEnd"/>
      <w:r w:rsidRPr="00A4211F">
        <w:rPr>
          <w:color w:val="161616"/>
          <w:w w:val="105"/>
          <w:lang w:val="sk-SK"/>
        </w:rPr>
        <w:t xml:space="preserve"> stanica je logicky umiestnená spolu s infúznou pumpou, ktorá hlási alarm. Centrálny vizuálny alarm slúži pre lepšiu </w:t>
      </w:r>
      <w:r w:rsidR="00224D27" w:rsidRPr="00A4211F">
        <w:rPr>
          <w:color w:val="161616"/>
          <w:w w:val="105"/>
          <w:lang w:val="sk-SK"/>
        </w:rPr>
        <w:t>viditeľnosť</w:t>
      </w:r>
      <w:r w:rsidRPr="00A4211F">
        <w:rPr>
          <w:color w:val="161616"/>
          <w:w w:val="105"/>
          <w:lang w:val="sk-SK"/>
        </w:rPr>
        <w:t xml:space="preserve"> a rýchlejšiu identifikáciu miesta alarmu pri </w:t>
      </w:r>
      <w:r w:rsidR="00224D27" w:rsidRPr="00A4211F">
        <w:rPr>
          <w:color w:val="161616"/>
          <w:w w:val="105"/>
          <w:lang w:val="sk-SK"/>
        </w:rPr>
        <w:t>pohľade</w:t>
      </w:r>
      <w:r w:rsidRPr="00A4211F">
        <w:rPr>
          <w:color w:val="161616"/>
          <w:w w:val="105"/>
          <w:lang w:val="sk-SK"/>
        </w:rPr>
        <w:t xml:space="preserve"> z </w:t>
      </w:r>
      <w:r w:rsidR="00224D27" w:rsidRPr="00A4211F">
        <w:rPr>
          <w:color w:val="161616"/>
          <w:w w:val="105"/>
          <w:lang w:val="sk-SK"/>
        </w:rPr>
        <w:t>diaľky</w:t>
      </w:r>
      <w:r w:rsidRPr="00A4211F">
        <w:rPr>
          <w:color w:val="161616"/>
          <w:w w:val="105"/>
          <w:lang w:val="sk-SK"/>
        </w:rPr>
        <w:t xml:space="preserve">. Zvukový alarm je už ale zastúpený na infúznej pumpe </w:t>
      </w:r>
      <w:r w:rsidRPr="00A4211F">
        <w:rPr>
          <w:color w:val="414141"/>
          <w:w w:val="105"/>
          <w:lang w:val="sk-SK"/>
        </w:rPr>
        <w:t>.</w:t>
      </w:r>
    </w:p>
    <w:p w14:paraId="125F7CD5" w14:textId="77777777" w:rsidR="00A4211F" w:rsidRPr="00A4211F" w:rsidRDefault="00A4211F" w:rsidP="00A4211F">
      <w:pPr>
        <w:pStyle w:val="Zkladntext"/>
        <w:rPr>
          <w:sz w:val="27"/>
          <w:lang w:val="sk-SK"/>
        </w:rPr>
      </w:pPr>
    </w:p>
    <w:p w14:paraId="7444AB57" w14:textId="77777777" w:rsidR="00A4211F" w:rsidRPr="00A4211F" w:rsidRDefault="00A4211F" w:rsidP="00A4211F">
      <w:pPr>
        <w:spacing w:before="95"/>
        <w:ind w:left="151"/>
        <w:rPr>
          <w:b/>
          <w:sz w:val="18"/>
        </w:rPr>
      </w:pPr>
      <w:r w:rsidRPr="00A4211F">
        <w:rPr>
          <w:b/>
          <w:color w:val="161616"/>
          <w:w w:val="110"/>
          <w:sz w:val="18"/>
          <w:u w:val="thick" w:color="161616"/>
        </w:rPr>
        <w:t>Otázka č.2</w:t>
      </w:r>
      <w:r w:rsidRPr="00A4211F">
        <w:rPr>
          <w:b/>
          <w:color w:val="161616"/>
          <w:w w:val="110"/>
          <w:sz w:val="18"/>
        </w:rPr>
        <w:t>:</w:t>
      </w:r>
    </w:p>
    <w:p w14:paraId="096E1465" w14:textId="77777777" w:rsidR="00A4211F" w:rsidRPr="00A4211F" w:rsidRDefault="00A4211F" w:rsidP="00A4211F">
      <w:pPr>
        <w:pStyle w:val="Zkladntext"/>
        <w:spacing w:before="8"/>
        <w:rPr>
          <w:b/>
          <w:sz w:val="16"/>
          <w:lang w:val="sk-SK"/>
        </w:rPr>
      </w:pPr>
    </w:p>
    <w:p w14:paraId="3A4C5877" w14:textId="0D8352F5" w:rsidR="00B251D1" w:rsidRPr="00224D27" w:rsidRDefault="00A4211F" w:rsidP="00A4211F">
      <w:pPr>
        <w:spacing w:after="200" w:line="276" w:lineRule="auto"/>
        <w:jc w:val="both"/>
        <w:rPr>
          <w:i/>
          <w:sz w:val="19"/>
          <w:szCs w:val="19"/>
        </w:rPr>
      </w:pPr>
      <w:r w:rsidRPr="00224D27">
        <w:rPr>
          <w:color w:val="161616"/>
          <w:w w:val="105"/>
          <w:sz w:val="19"/>
          <w:szCs w:val="19"/>
        </w:rPr>
        <w:t xml:space="preserve">Bude verejný </w:t>
      </w:r>
      <w:r w:rsidR="00224D27" w:rsidRPr="00224D27">
        <w:rPr>
          <w:color w:val="161616"/>
          <w:w w:val="105"/>
          <w:sz w:val="19"/>
          <w:szCs w:val="19"/>
        </w:rPr>
        <w:t>obstarávateľ</w:t>
      </w:r>
      <w:r w:rsidRPr="00224D27">
        <w:rPr>
          <w:color w:val="161616"/>
          <w:w w:val="105"/>
          <w:sz w:val="19"/>
          <w:szCs w:val="19"/>
        </w:rPr>
        <w:t xml:space="preserve">' akceptovať riešenie, pri ktorom je zvukový alarm súčasťou </w:t>
      </w:r>
      <w:r w:rsidRPr="00224D27">
        <w:rPr>
          <w:color w:val="2A2A2A"/>
          <w:w w:val="105"/>
          <w:sz w:val="19"/>
          <w:szCs w:val="19"/>
        </w:rPr>
        <w:t xml:space="preserve">infúznej </w:t>
      </w:r>
      <w:r w:rsidRPr="00224D27">
        <w:rPr>
          <w:color w:val="161616"/>
          <w:w w:val="105"/>
          <w:sz w:val="19"/>
          <w:szCs w:val="19"/>
        </w:rPr>
        <w:t>pumpy?</w:t>
      </w:r>
    </w:p>
    <w:p w14:paraId="4B4F4F49" w14:textId="77777777" w:rsidR="00B251D1" w:rsidRDefault="00B251D1" w:rsidP="002D46EF">
      <w:pPr>
        <w:spacing w:after="200" w:line="276" w:lineRule="auto"/>
        <w:jc w:val="both"/>
        <w:rPr>
          <w:rFonts w:ascii="Arial Narrow" w:hAnsi="Arial Narrow"/>
          <w:i/>
        </w:rPr>
      </w:pPr>
    </w:p>
    <w:p w14:paraId="5D83FC98" w14:textId="313CCE9B" w:rsidR="002D46EF" w:rsidRPr="00224D27" w:rsidRDefault="00B251D1" w:rsidP="002D46EF">
      <w:pPr>
        <w:spacing w:after="200" w:line="276" w:lineRule="auto"/>
        <w:jc w:val="both"/>
        <w:rPr>
          <w:rFonts w:ascii="Arial Narrow" w:hAnsi="Arial Narrow"/>
        </w:rPr>
      </w:pPr>
      <w:r w:rsidRPr="00224D27">
        <w:rPr>
          <w:rFonts w:ascii="Arial Narrow" w:hAnsi="Arial Narrow"/>
        </w:rPr>
        <w:t xml:space="preserve"> </w:t>
      </w:r>
      <w:r w:rsidR="00224D27" w:rsidRPr="00224D27">
        <w:rPr>
          <w:rFonts w:ascii="Arial Narrow" w:hAnsi="Arial Narrow"/>
          <w:b/>
        </w:rPr>
        <w:t xml:space="preserve">Odpoveď: </w:t>
      </w:r>
      <w:r w:rsidR="00224D27" w:rsidRPr="00224D27">
        <w:rPr>
          <w:rFonts w:ascii="Arial Narrow" w:hAnsi="Arial Narrow"/>
          <w:b/>
          <w:bCs/>
        </w:rPr>
        <w:t>: Áno, cieľom parametra bolo, aby bol aj akustický alarm možný, to či vychádza z </w:t>
      </w:r>
      <w:proofErr w:type="spellStart"/>
      <w:r w:rsidR="00224D27" w:rsidRPr="00224D27">
        <w:rPr>
          <w:rFonts w:ascii="Arial Narrow" w:hAnsi="Arial Narrow"/>
          <w:b/>
          <w:bCs/>
        </w:rPr>
        <w:t>dokovacej</w:t>
      </w:r>
      <w:proofErr w:type="spellEnd"/>
      <w:r w:rsidR="00224D27" w:rsidRPr="00224D27">
        <w:rPr>
          <w:rFonts w:ascii="Arial Narrow" w:hAnsi="Arial Narrow"/>
          <w:b/>
          <w:bCs/>
        </w:rPr>
        <w:t xml:space="preserve"> stanice, alebo samotnej pumpy nie je preto dôležité a verejný obstarávateľ bude akceptovať aj takéto riešenie tohto parametra.</w:t>
      </w:r>
      <w:bookmarkStart w:id="0" w:name="_GoBack"/>
      <w:bookmarkEnd w:id="0"/>
    </w:p>
    <w:p w14:paraId="4F9A5097" w14:textId="77777777" w:rsidR="002D46EF" w:rsidRPr="00C647DD" w:rsidRDefault="002D46EF" w:rsidP="002D46EF">
      <w:pPr>
        <w:spacing w:after="200" w:line="276" w:lineRule="auto"/>
        <w:jc w:val="both"/>
        <w:rPr>
          <w:rFonts w:ascii="Arial Narrow" w:hAnsi="Arial Narrow"/>
        </w:rPr>
      </w:pP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6CD1DAF9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</w:p>
    <w:p w14:paraId="36FCC002" w14:textId="7A42149B" w:rsidR="00834682" w:rsidRDefault="00834682" w:rsidP="00C647DD">
      <w:pPr>
        <w:tabs>
          <w:tab w:val="left" w:pos="3969"/>
        </w:tabs>
      </w:pPr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3A6E" w14:textId="77777777" w:rsidR="00061EC6" w:rsidRDefault="00061EC6" w:rsidP="00110C23">
      <w:r>
        <w:separator/>
      </w:r>
    </w:p>
  </w:endnote>
  <w:endnote w:type="continuationSeparator" w:id="0">
    <w:p w14:paraId="473098E5" w14:textId="77777777" w:rsidR="00061EC6" w:rsidRDefault="00061EC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2BA5" w14:textId="77777777" w:rsidR="00061EC6" w:rsidRDefault="00061EC6" w:rsidP="00110C23">
      <w:r>
        <w:separator/>
      </w:r>
    </w:p>
  </w:footnote>
  <w:footnote w:type="continuationSeparator" w:id="0">
    <w:p w14:paraId="70889F60" w14:textId="77777777" w:rsidR="00061EC6" w:rsidRDefault="00061EC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090B6CAF" w:rsidR="00110C23" w:rsidRDefault="00A4211F">
    <w:pPr>
      <w:pStyle w:val="Hlavika"/>
    </w:pPr>
    <w:r>
      <w:rPr>
        <w:noProof/>
      </w:rPr>
      <w:drawing>
        <wp:inline distT="0" distB="0" distL="0" distR="0" wp14:anchorId="47D02A96" wp14:editId="7FB6208B">
          <wp:extent cx="749300" cy="374650"/>
          <wp:effectExtent l="0" t="0" r="0" b="6350"/>
          <wp:docPr id="36" name="Obrázok 36" descr="logo-u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9" descr="logo-u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FE90A4" wp14:editId="2EF10707">
          <wp:extent cx="762000" cy="247650"/>
          <wp:effectExtent l="0" t="0" r="0" b="0"/>
          <wp:docPr id="35" name="Obrázok 35" descr="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0" descr="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FF9662" wp14:editId="3EEECD90">
          <wp:extent cx="736600" cy="266700"/>
          <wp:effectExtent l="0" t="0" r="6350" b="0"/>
          <wp:docPr id="34" name="Obrázok 34" descr="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1" descr="25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38E6EC" wp14:editId="66306F38">
          <wp:extent cx="1143000" cy="285750"/>
          <wp:effectExtent l="0" t="0" r="0" b="0"/>
          <wp:docPr id="33" name="Obrázok 33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2" descr="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FFC3DA" wp14:editId="5069F0EF">
          <wp:extent cx="927100" cy="298450"/>
          <wp:effectExtent l="0" t="0" r="6350" b="6350"/>
          <wp:docPr id="32" name="Obrázok 32" descr="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3" descr="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094D0D" wp14:editId="3F80F613">
          <wp:extent cx="1028700" cy="298450"/>
          <wp:effectExtent l="0" t="0" r="0" b="6350"/>
          <wp:docPr id="31" name="Obrázok 3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4" descr="1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61EC6"/>
    <w:rsid w:val="000A1F6D"/>
    <w:rsid w:val="0011056B"/>
    <w:rsid w:val="00110C23"/>
    <w:rsid w:val="00181A0C"/>
    <w:rsid w:val="001873A6"/>
    <w:rsid w:val="001875D5"/>
    <w:rsid w:val="001D34A5"/>
    <w:rsid w:val="001F0387"/>
    <w:rsid w:val="00224D27"/>
    <w:rsid w:val="002363D3"/>
    <w:rsid w:val="00241E78"/>
    <w:rsid w:val="002B7B6A"/>
    <w:rsid w:val="002D46EF"/>
    <w:rsid w:val="00334E6E"/>
    <w:rsid w:val="004368A3"/>
    <w:rsid w:val="00515ED5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4211F"/>
    <w:rsid w:val="00A83A41"/>
    <w:rsid w:val="00AF7C97"/>
    <w:rsid w:val="00B055D2"/>
    <w:rsid w:val="00B251D1"/>
    <w:rsid w:val="00B5113D"/>
    <w:rsid w:val="00B73157"/>
    <w:rsid w:val="00B73AEE"/>
    <w:rsid w:val="00BE51A9"/>
    <w:rsid w:val="00C04A10"/>
    <w:rsid w:val="00C3223D"/>
    <w:rsid w:val="00C56D84"/>
    <w:rsid w:val="00C647DD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4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A4211F"/>
    <w:pPr>
      <w:widowControl w:val="0"/>
      <w:autoSpaceDE w:val="0"/>
      <w:autoSpaceDN w:val="0"/>
    </w:pPr>
    <w:rPr>
      <w:rFonts w:eastAsia="Arial"/>
      <w:sz w:val="19"/>
      <w:szCs w:val="19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211F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lny"/>
    <w:uiPriority w:val="1"/>
    <w:qFormat/>
    <w:rsid w:val="00A4211F"/>
    <w:pPr>
      <w:widowControl w:val="0"/>
      <w:autoSpaceDE w:val="0"/>
      <w:autoSpaceDN w:val="0"/>
      <w:spacing w:before="17"/>
    </w:pPr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cp:lastPrinted>2018-11-21T11:11:00Z</cp:lastPrinted>
  <dcterms:created xsi:type="dcterms:W3CDTF">2019-04-19T20:03:00Z</dcterms:created>
  <dcterms:modified xsi:type="dcterms:W3CDTF">2019-04-19T20:03:00Z</dcterms:modified>
</cp:coreProperties>
</file>