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37FA0BA1"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70059B">
        <w:rPr>
          <w:rFonts w:ascii="Arial Narrow" w:hAnsi="Arial Narrow"/>
          <w:sz w:val="22"/>
          <w:szCs w:val="22"/>
          <w:lang w:val="sk-SK"/>
        </w:rPr>
        <w:t>Osobné automobily typu kombi</w:t>
      </w:r>
      <w:r>
        <w:rPr>
          <w:rFonts w:ascii="Arial Narrow" w:hAnsi="Arial Narrow"/>
          <w:sz w:val="22"/>
          <w:szCs w:val="22"/>
          <w:lang w:val="sk-SK"/>
        </w:rPr>
        <w:t>“</w:t>
      </w:r>
      <w:r w:rsidRPr="00BB0691">
        <w:rPr>
          <w:rFonts w:ascii="Arial Narrow" w:hAnsi="Arial Narrow"/>
          <w:sz w:val="22"/>
          <w:szCs w:val="22"/>
        </w:rPr>
        <w:t xml:space="preserve"> 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61536C83"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 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C677FE"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6B104286"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4503A1"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1916C0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C3909">
        <w:rPr>
          <w:rFonts w:ascii="Arial Narrow" w:hAnsi="Arial Narrow"/>
          <w:sz w:val="22"/>
          <w:szCs w:val="22"/>
        </w:rPr>
        <w:t>4.12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C3909">
        <w:rPr>
          <w:rFonts w:ascii="Arial Narrow" w:hAnsi="Arial Narrow"/>
          <w:sz w:val="22"/>
          <w:szCs w:val="22"/>
        </w:rPr>
        <w:t>4.20</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4553DB9F"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2475B0">
        <w:rPr>
          <w:rFonts w:ascii="Arial Narrow" w:hAnsi="Arial Narrow"/>
          <w:sz w:val="22"/>
          <w:szCs w:val="22"/>
          <w:lang w:val="sk-SK"/>
        </w:rPr>
        <w:t xml:space="preserve">Osobné automobily typu kombi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3BB46678" w14:textId="4FFA2EAE" w:rsidR="00CF559B" w:rsidRPr="008C3909" w:rsidRDefault="00CF559B" w:rsidP="008C3909">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CF559B">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8D1A81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w:t>
      </w:r>
      <w:r w:rsidRPr="00AE189D">
        <w:rPr>
          <w:rFonts w:ascii="Arial Narrow" w:hAnsi="Arial Narrow"/>
          <w:sz w:val="22"/>
          <w:szCs w:val="22"/>
        </w:rPr>
        <w:t>charakteristikami</w:t>
      </w:r>
      <w:r w:rsidRPr="00C677FE">
        <w:rPr>
          <w:rFonts w:ascii="Arial Narrow" w:hAnsi="Arial Narrow"/>
          <w:color w:val="000000" w:themeColor="text1"/>
          <w:sz w:val="22"/>
          <w:szCs w:val="22"/>
        </w:rPr>
        <w:t xml:space="preserve">,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321EBA7F" w14:textId="59D2753A" w:rsidR="00CF559B" w:rsidRPr="00EC6972" w:rsidRDefault="00CF559B" w:rsidP="00EC6972">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EC697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r w:rsidR="008C3909">
        <w:rPr>
          <w:rFonts w:ascii="Arial Narrow" w:hAnsi="Arial Narrow"/>
          <w:sz w:val="22"/>
          <w:szCs w:val="22"/>
          <w:lang w:val="sk-SK"/>
        </w:rPr>
        <w:t>,</w:t>
      </w:r>
    </w:p>
    <w:p w14:paraId="5FE57A31" w14:textId="335A31FB"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r w:rsidR="008C3909">
        <w:rPr>
          <w:rFonts w:ascii="Arial Narrow" w:hAnsi="Arial Narrow"/>
          <w:sz w:val="22"/>
          <w:szCs w:val="22"/>
          <w:lang w:val="sk-SK"/>
        </w:rPr>
        <w:t>,</w:t>
      </w:r>
    </w:p>
    <w:p w14:paraId="018DA4C3" w14:textId="263C2A8D" w:rsidR="00CF559B" w:rsidRPr="004B764A"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r w:rsidR="00EC6972">
        <w:rPr>
          <w:rFonts w:ascii="Arial Narrow" w:hAnsi="Arial Narrow"/>
          <w:sz w:val="22"/>
          <w:szCs w:val="22"/>
          <w:lang w:val="sk-SK"/>
        </w:rPr>
        <w:t xml:space="preserve"> </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5A0FA93" w14:textId="4253C0C2" w:rsidR="00FC7D9A" w:rsidRPr="00400EF8"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Pr="008C3909">
        <w:rPr>
          <w:rFonts w:ascii="Arial Narrow" w:hAnsi="Arial Narrow"/>
          <w:color w:val="000000" w:themeColor="text1"/>
          <w:sz w:val="22"/>
          <w:szCs w:val="22"/>
        </w:rPr>
        <w:t xml:space="preserve">dodať </w:t>
      </w:r>
      <w:r w:rsidR="00FC7D9A" w:rsidRPr="008C3909">
        <w:rPr>
          <w:rFonts w:ascii="Arial Narrow" w:hAnsi="Arial Narrow"/>
          <w:color w:val="000000" w:themeColor="text1"/>
          <w:sz w:val="22"/>
          <w:szCs w:val="22"/>
          <w:lang w:val="sk-SK"/>
        </w:rPr>
        <w:t>automobily</w:t>
      </w:r>
      <w:r w:rsidRPr="008C3909">
        <w:rPr>
          <w:rFonts w:ascii="Arial Narrow" w:hAnsi="Arial Narrow"/>
          <w:color w:val="000000" w:themeColor="text1"/>
          <w:sz w:val="22"/>
          <w:szCs w:val="22"/>
        </w:rPr>
        <w:t xml:space="preserve"> </w:t>
      </w:r>
      <w:r w:rsidR="00E94375" w:rsidRPr="008C3909">
        <w:rPr>
          <w:rFonts w:ascii="Arial Narrow" w:hAnsi="Arial Narrow"/>
          <w:color w:val="000000" w:themeColor="text1"/>
          <w:sz w:val="22"/>
          <w:szCs w:val="22"/>
          <w:lang w:val="sk-SK"/>
        </w:rPr>
        <w:t>a sady 4 ks zimných pneumatík min. na plechových diskoch</w:t>
      </w:r>
      <w:r w:rsidR="0050555A" w:rsidRPr="008C3909">
        <w:rPr>
          <w:rFonts w:ascii="Arial Narrow" w:hAnsi="Arial Narrow"/>
          <w:color w:val="000000" w:themeColor="text1"/>
          <w:sz w:val="22"/>
          <w:szCs w:val="22"/>
          <w:lang w:val="sk-SK"/>
        </w:rPr>
        <w:t xml:space="preserve"> </w:t>
      </w:r>
      <w:r w:rsidRPr="008C3909">
        <w:rPr>
          <w:rFonts w:ascii="Arial Narrow" w:hAnsi="Arial Narrow"/>
          <w:color w:val="000000" w:themeColor="text1"/>
          <w:sz w:val="22"/>
          <w:szCs w:val="22"/>
        </w:rPr>
        <w:t xml:space="preserve">Kupujúcemu najneskôr do </w:t>
      </w:r>
      <w:r w:rsidRPr="008C3909">
        <w:rPr>
          <w:rFonts w:ascii="Arial Narrow" w:hAnsi="Arial Narrow"/>
          <w:color w:val="000000" w:themeColor="text1"/>
          <w:sz w:val="22"/>
          <w:szCs w:val="22"/>
          <w:lang w:val="sk-SK"/>
        </w:rPr>
        <w:t>.....</w:t>
      </w:r>
      <w:r w:rsidR="00BE524B" w:rsidRPr="008C3909">
        <w:rPr>
          <w:rFonts w:ascii="Arial Narrow" w:hAnsi="Arial Narrow"/>
          <w:i/>
          <w:iCs/>
          <w:color w:val="000000" w:themeColor="text1"/>
          <w:sz w:val="22"/>
          <w:szCs w:val="22"/>
          <w:lang w:val="sk-SK"/>
        </w:rPr>
        <w:t xml:space="preserve"> lehota dodania bude doplnená podľa návrhu na plnenie kritéria</w:t>
      </w:r>
      <w:r w:rsidRPr="008C3909">
        <w:rPr>
          <w:rFonts w:ascii="Arial Narrow" w:hAnsi="Arial Narrow"/>
          <w:color w:val="000000" w:themeColor="text1"/>
          <w:sz w:val="22"/>
          <w:szCs w:val="22"/>
          <w:lang w:val="sk-SK"/>
        </w:rPr>
        <w:t>....</w:t>
      </w:r>
      <w:r w:rsidRPr="008C3909">
        <w:rPr>
          <w:rFonts w:ascii="Arial Narrow" w:hAnsi="Arial Narrow"/>
          <w:color w:val="000000" w:themeColor="text1"/>
          <w:sz w:val="22"/>
          <w:szCs w:val="22"/>
        </w:rPr>
        <w:t xml:space="preserve"> dní </w:t>
      </w:r>
      <w:r w:rsidRPr="00C677FE">
        <w:rPr>
          <w:rFonts w:ascii="Arial Narrow" w:hAnsi="Arial Narrow"/>
          <w:sz w:val="22"/>
          <w:szCs w:val="22"/>
        </w:rPr>
        <w:t>odo dňa nadobudnutia účinnosti tejto zmluvy.</w:t>
      </w:r>
      <w:bookmarkEnd w:id="2"/>
    </w:p>
    <w:p w14:paraId="0BB988FC" w14:textId="77777777" w:rsidR="00FC7D9A" w:rsidRPr="008C3909" w:rsidRDefault="00FC7D9A" w:rsidP="008C3909">
      <w:pPr>
        <w:rPr>
          <w:rFonts w:ascii="Arial Narrow" w:hAnsi="Arial Narrow"/>
          <w:sz w:val="22"/>
        </w:rPr>
      </w:pPr>
    </w:p>
    <w:p w14:paraId="66C0C9C9" w14:textId="5F97A95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E372DC">
        <w:rPr>
          <w:rFonts w:ascii="Arial Narrow" w:hAnsi="Arial Narrow"/>
          <w:sz w:val="22"/>
        </w:rPr>
        <w:t xml:space="preserve">Ak si kupujúci nesplní svoju povinnosť podľa bodu </w:t>
      </w:r>
      <w:r w:rsidR="000904C4">
        <w:rPr>
          <w:rFonts w:ascii="Arial Narrow" w:hAnsi="Arial Narrow"/>
          <w:sz w:val="22"/>
          <w:lang w:val="sk-SK"/>
        </w:rPr>
        <w:t>4</w:t>
      </w:r>
      <w:r w:rsidRPr="00E372DC">
        <w:rPr>
          <w:rFonts w:ascii="Arial Narrow" w:hAnsi="Arial Narrow"/>
          <w:sz w:val="22"/>
        </w:rPr>
        <w:t>.</w:t>
      </w:r>
      <w:r w:rsidR="000904C4">
        <w:rPr>
          <w:rFonts w:ascii="Arial Narrow" w:hAnsi="Arial Narrow"/>
          <w:sz w:val="22"/>
          <w:lang w:val="sk-SK"/>
        </w:rPr>
        <w:t>5</w:t>
      </w:r>
      <w:r w:rsidRPr="00E372DC">
        <w:rPr>
          <w:rFonts w:ascii="Arial Narrow" w:hAnsi="Arial Narrow"/>
          <w:sz w:val="22"/>
        </w:rPr>
        <w:t xml:space="preserve"> tejto zmluvy, lehota dodania predmet zmluvy podľa predchádzajúcej vety sa predlžuje o počet dní zodpovedajúci počtu dní omeškania kupujúceho so splnením povinnosti podľa bodu </w:t>
      </w:r>
      <w:r w:rsidR="000904C4">
        <w:rPr>
          <w:rFonts w:ascii="Arial Narrow" w:hAnsi="Arial Narrow"/>
          <w:sz w:val="22"/>
          <w:lang w:val="sk-SK"/>
        </w:rPr>
        <w:t>4</w:t>
      </w:r>
      <w:r w:rsidRPr="00E372DC">
        <w:rPr>
          <w:rFonts w:ascii="Arial Narrow" w:hAnsi="Arial Narrow"/>
          <w:sz w:val="22"/>
        </w:rPr>
        <w:t>.</w:t>
      </w:r>
      <w:r w:rsidR="000904C4">
        <w:rPr>
          <w:rFonts w:ascii="Arial Narrow" w:hAnsi="Arial Narrow"/>
          <w:sz w:val="22"/>
          <w:lang w:val="sk-SK"/>
        </w:rPr>
        <w:t>5</w:t>
      </w:r>
      <w:r w:rsidRPr="00E372DC">
        <w:rPr>
          <w:rFonts w:ascii="Arial Narrow" w:hAnsi="Arial Narrow"/>
          <w:sz w:val="22"/>
        </w:rPr>
        <w:t xml:space="preserve"> tejto zmluvy.</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6D703B7" w14:textId="1F1A4AA8" w:rsidR="00CF559B" w:rsidRDefault="00CF559B" w:rsidP="008C3909">
      <w:pPr>
        <w:pStyle w:val="Odsekzoznamu"/>
        <w:numPr>
          <w:ilvl w:val="1"/>
          <w:numId w:val="69"/>
        </w:numPr>
        <w:tabs>
          <w:tab w:val="clear" w:pos="2160"/>
          <w:tab w:val="clear" w:pos="2880"/>
          <w:tab w:val="clear" w:pos="4500"/>
        </w:tabs>
        <w:ind w:left="567" w:hanging="567"/>
        <w:jc w:val="both"/>
        <w:rPr>
          <w:rFonts w:ascii="Arial Narrow" w:hAnsi="Arial Narrow"/>
          <w:sz w:val="22"/>
          <w:szCs w:val="22"/>
          <w:lang w:val="sk-SK"/>
        </w:rPr>
      </w:pPr>
      <w:r w:rsidRPr="008C3909">
        <w:rPr>
          <w:rFonts w:ascii="Arial Narrow" w:hAnsi="Arial Narrow"/>
          <w:sz w:val="22"/>
          <w:szCs w:val="22"/>
        </w:rPr>
        <w:t>Odovzdanie a prevzatie bude vykonané poverenými zástupcami kupujúceho a predávajúceho v mieste dodania predmetu zmluvy.</w:t>
      </w:r>
    </w:p>
    <w:p w14:paraId="4EAEC61A" w14:textId="77777777" w:rsidR="008C3909" w:rsidRPr="008C3909" w:rsidRDefault="008C3909" w:rsidP="005A2D40">
      <w:pPr>
        <w:pStyle w:val="Odsekzoznamu"/>
        <w:tabs>
          <w:tab w:val="clear" w:pos="2160"/>
          <w:tab w:val="clear" w:pos="2880"/>
          <w:tab w:val="clear" w:pos="4500"/>
          <w:tab w:val="left" w:pos="567"/>
        </w:tabs>
        <w:ind w:left="567"/>
        <w:jc w:val="both"/>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lastRenderedPageBreak/>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0EA7DC71"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60ECB50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4.10</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w:t>
      </w:r>
      <w:r w:rsidRPr="00C677FE">
        <w:rPr>
          <w:rFonts w:ascii="Arial Narrow" w:hAnsi="Arial Narrow"/>
          <w:sz w:val="22"/>
          <w:szCs w:val="22"/>
        </w:rPr>
        <w:lastRenderedPageBreak/>
        <w:t>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Zálohové platby ani platba vopred sa neumožňujú. Úhrada kúpnej ceny sa uskutoční po prebratí predmetu zmluvy kupujúcim, formou prevodu na bankový účet predávajúceho uvedeného v čl. I. tejto zmluvy v časti Predávajúci. 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060F58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4.7</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Pr="00C677FE" w:rsidRDefault="00CF559B"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01F196F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4.1</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1B392B0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0D88613"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4.12</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C3909">
        <w:rPr>
          <w:rFonts w:ascii="Arial Narrow" w:hAnsi="Arial Narrow"/>
          <w:sz w:val="22"/>
          <w:szCs w:val="22"/>
        </w:rPr>
        <w:t>4.20</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3BACFBA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t>V ................... dňa .....................</w:t>
      </w:r>
      <w:r w:rsidRPr="00C677FE">
        <w:rPr>
          <w:rFonts w:ascii="Arial Narrow" w:hAnsi="Arial Narrow"/>
          <w:sz w:val="22"/>
          <w:szCs w:val="22"/>
        </w:rPr>
        <w:tab/>
      </w:r>
      <w:r w:rsidRPr="00C677FE">
        <w:rPr>
          <w:rFonts w:ascii="Arial Narrow" w:hAnsi="Arial Narrow"/>
          <w:sz w:val="22"/>
          <w:szCs w:val="22"/>
        </w:rPr>
        <w:tab/>
        <w:t>V ..................... dňa: .....................</w:t>
      </w:r>
    </w:p>
    <w:p w14:paraId="763F80B8"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D3A1C7C"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r>
      <w:r w:rsidRPr="00C677FE">
        <w:rPr>
          <w:rFonts w:ascii="Arial Narrow" w:hAnsi="Arial Narrow"/>
          <w:sz w:val="22"/>
          <w:szCs w:val="22"/>
        </w:rPr>
        <w:tab/>
      </w:r>
    </w:p>
    <w:p w14:paraId="3963B4D0"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11C5B77"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7EDBE2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5D13F3F4" w:rsidR="00CF559B" w:rsidRPr="00C677FE" w:rsidRDefault="00CF559B" w:rsidP="00CF559B">
      <w:pPr>
        <w:tabs>
          <w:tab w:val="clear" w:pos="2160"/>
          <w:tab w:val="clear" w:pos="2880"/>
          <w:tab w:val="clear" w:pos="4500"/>
        </w:tabs>
        <w:rPr>
          <w:rFonts w:ascii="Arial Narrow" w:hAnsi="Arial Narrow"/>
          <w:color w:val="FF0000"/>
        </w:rPr>
      </w:pPr>
      <w:r w:rsidRPr="00C677FE">
        <w:rPr>
          <w:rFonts w:ascii="Arial Narrow" w:hAnsi="Arial Narrow"/>
          <w:sz w:val="22"/>
          <w:szCs w:val="22"/>
        </w:rPr>
        <w:tab/>
        <w:t>.......................................................</w:t>
      </w:r>
      <w:r w:rsidRPr="00C677F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Pr="00C677FE">
        <w:rPr>
          <w:rFonts w:ascii="Arial Narrow" w:hAnsi="Arial Narrow"/>
          <w:sz w:val="22"/>
          <w:szCs w:val="22"/>
        </w:rPr>
        <w:t>.......................................................</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DD73" w14:textId="77777777" w:rsidR="00A33B0A" w:rsidRDefault="00A33B0A" w:rsidP="006E6235">
      <w:r>
        <w:separator/>
      </w:r>
    </w:p>
  </w:endnote>
  <w:endnote w:type="continuationSeparator" w:id="0">
    <w:p w14:paraId="2DFAD8DC" w14:textId="77777777" w:rsidR="00A33B0A" w:rsidRDefault="00A33B0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47D3" w14:textId="77777777" w:rsidR="00A33B0A" w:rsidRDefault="00A33B0A" w:rsidP="006E6235">
      <w:r>
        <w:separator/>
      </w:r>
    </w:p>
  </w:footnote>
  <w:footnote w:type="continuationSeparator" w:id="0">
    <w:p w14:paraId="76DAB466" w14:textId="77777777" w:rsidR="00A33B0A" w:rsidRDefault="00A33B0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05C4"/>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2010E"/>
    <w:rsid w:val="00522313"/>
    <w:rsid w:val="00522666"/>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70892"/>
    <w:rsid w:val="006710D7"/>
    <w:rsid w:val="00675C28"/>
    <w:rsid w:val="00680178"/>
    <w:rsid w:val="00680DCA"/>
    <w:rsid w:val="006811F3"/>
    <w:rsid w:val="00682A61"/>
    <w:rsid w:val="00693E11"/>
    <w:rsid w:val="006947FE"/>
    <w:rsid w:val="006A0915"/>
    <w:rsid w:val="006A1584"/>
    <w:rsid w:val="006B19B5"/>
    <w:rsid w:val="006B6D5D"/>
    <w:rsid w:val="006C25A5"/>
    <w:rsid w:val="006C30F1"/>
    <w:rsid w:val="006C66DA"/>
    <w:rsid w:val="006C6CCB"/>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1D8"/>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3909"/>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CC"/>
    <w:rsid w:val="009B2474"/>
    <w:rsid w:val="009B3712"/>
    <w:rsid w:val="009B4B80"/>
    <w:rsid w:val="009B5231"/>
    <w:rsid w:val="009C26DF"/>
    <w:rsid w:val="009C2C46"/>
    <w:rsid w:val="009D4970"/>
    <w:rsid w:val="009D4F18"/>
    <w:rsid w:val="009E1399"/>
    <w:rsid w:val="009E5D1A"/>
    <w:rsid w:val="00A01B63"/>
    <w:rsid w:val="00A04F38"/>
    <w:rsid w:val="00A14B71"/>
    <w:rsid w:val="00A23C81"/>
    <w:rsid w:val="00A240E5"/>
    <w:rsid w:val="00A257A4"/>
    <w:rsid w:val="00A30A0F"/>
    <w:rsid w:val="00A33B0A"/>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27D"/>
    <w:rsid w:val="00BB68B1"/>
    <w:rsid w:val="00BC466F"/>
    <w:rsid w:val="00BD06D6"/>
    <w:rsid w:val="00BD4E82"/>
    <w:rsid w:val="00BE3FD2"/>
    <w:rsid w:val="00BE524B"/>
    <w:rsid w:val="00BF0AE1"/>
    <w:rsid w:val="00BF23DB"/>
    <w:rsid w:val="00BF700A"/>
    <w:rsid w:val="00C00984"/>
    <w:rsid w:val="00C1403F"/>
    <w:rsid w:val="00C23D77"/>
    <w:rsid w:val="00C369D4"/>
    <w:rsid w:val="00C413F2"/>
    <w:rsid w:val="00C55A4B"/>
    <w:rsid w:val="00C57976"/>
    <w:rsid w:val="00C61439"/>
    <w:rsid w:val="00C62BC4"/>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18</Pages>
  <Words>5981</Words>
  <Characters>34095</Characters>
  <Application>Microsoft Office Word</Application>
  <DocSecurity>0</DocSecurity>
  <Lines>284</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165</cp:revision>
  <cp:lastPrinted>2020-09-23T13:30:00Z</cp:lastPrinted>
  <dcterms:created xsi:type="dcterms:W3CDTF">2020-10-26T09:25:00Z</dcterms:created>
  <dcterms:modified xsi:type="dcterms:W3CDTF">2022-11-09T13:03:00Z</dcterms:modified>
</cp:coreProperties>
</file>