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0BF8BAE9" w:rsidR="00EF7463" w:rsidRPr="00C677FE" w:rsidRDefault="00EF7463" w:rsidP="00EF7463">
            <w:pPr>
              <w:tabs>
                <w:tab w:val="clear" w:pos="4500"/>
                <w:tab w:val="left" w:pos="13892"/>
              </w:tabs>
              <w:autoSpaceDE w:val="0"/>
              <w:autoSpaceDN w:val="0"/>
              <w:adjustRightInd w:val="0"/>
              <w:rPr>
                <w:rFonts w:ascii="Arial Narrow" w:hAnsi="Arial Narrow"/>
                <w:sz w:val="22"/>
                <w:szCs w:val="22"/>
              </w:rPr>
            </w:pP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0C9C59FE" w:rsidR="003245F8" w:rsidRPr="002450C6" w:rsidRDefault="00DE521C"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81EC5" w:rsidRPr="00911610">
        <w:rPr>
          <w:rFonts w:ascii="Arial Narrow" w:hAnsi="Arial Narrow"/>
          <w:b/>
          <w:bCs/>
          <w:sz w:val="22"/>
        </w:rPr>
        <w:t xml:space="preserve">Automobil pre </w:t>
      </w:r>
      <w:r w:rsidR="00581EC5">
        <w:rPr>
          <w:rFonts w:ascii="Arial Narrow" w:hAnsi="Arial Narrow"/>
          <w:b/>
          <w:bCs/>
          <w:sz w:val="22"/>
        </w:rPr>
        <w:t>Úrad pre územné plánovanie a výstavbu SR_VO</w:t>
      </w:r>
      <w:r w:rsidR="00483FE0">
        <w:rPr>
          <w:rFonts w:ascii="Arial Narrow" w:hAnsi="Arial Narrow"/>
          <w:b/>
          <w:bCs/>
          <w:sz w:val="22"/>
          <w:lang w:val="sk-SK"/>
        </w:rPr>
        <w:t>3</w:t>
      </w:r>
      <w:r w:rsidR="00C677FE" w:rsidRPr="002450C6">
        <w:rPr>
          <w:rFonts w:ascii="Arial Narrow" w:hAnsi="Arial Narrow"/>
          <w:i/>
          <w:iCs/>
          <w:sz w:val="22"/>
          <w:szCs w:val="22"/>
          <w:lang w:val="sk-SK"/>
        </w:rPr>
        <w:t>.</w:t>
      </w:r>
    </w:p>
    <w:p w14:paraId="3FD22832" w14:textId="77777777" w:rsidR="00151068" w:rsidRPr="00C677FE" w:rsidRDefault="00151068" w:rsidP="00C677FE">
      <w:pPr>
        <w:rPr>
          <w:rFonts w:ascii="Arial Narrow" w:hAnsi="Arial Narrow"/>
          <w:sz w:val="22"/>
          <w:szCs w:val="22"/>
        </w:rPr>
      </w:pPr>
    </w:p>
    <w:p w14:paraId="2D8725FF" w14:textId="2274D708" w:rsidR="00E1263A" w:rsidRPr="00C677FE" w:rsidRDefault="00151068"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Predmet zmluvy je realizovaný a financovaný </w:t>
      </w:r>
      <w:r w:rsidR="00152627" w:rsidRPr="00C677FE">
        <w:rPr>
          <w:rFonts w:ascii="Arial Narrow" w:hAnsi="Arial Narrow"/>
          <w:sz w:val="22"/>
          <w:szCs w:val="22"/>
          <w:lang w:val="sk-SK"/>
        </w:rPr>
        <w:t>z</w:t>
      </w:r>
      <w:r w:rsidR="00C677FE">
        <w:rPr>
          <w:rFonts w:ascii="Arial Narrow" w:hAnsi="Arial Narrow"/>
          <w:sz w:val="22"/>
          <w:szCs w:val="22"/>
          <w:lang w:val="sk-SK"/>
        </w:rPr>
        <w:t> </w:t>
      </w:r>
      <w:r w:rsidR="00581EC5">
        <w:rPr>
          <w:rFonts w:ascii="Arial Narrow" w:hAnsi="Arial Narrow"/>
          <w:sz w:val="22"/>
          <w:szCs w:val="22"/>
          <w:lang w:val="sk-SK"/>
        </w:rPr>
        <w:t>........</w:t>
      </w:r>
      <w:r w:rsidR="00C677FE">
        <w:rPr>
          <w:rFonts w:ascii="Arial Narrow" w:hAnsi="Arial Narrow"/>
          <w:sz w:val="22"/>
          <w:szCs w:val="22"/>
          <w:lang w:val="sk-SK"/>
        </w:rPr>
        <w:t>.</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6CD203AF" w14:textId="77777777" w:rsidR="00CB20E1" w:rsidRPr="00C677FE" w:rsidRDefault="00CB20E1" w:rsidP="00581EC5">
      <w:pPr>
        <w:pStyle w:val="CTL"/>
        <w:numPr>
          <w:ilvl w:val="0"/>
          <w:numId w:val="0"/>
        </w:numPr>
        <w:tabs>
          <w:tab w:val="left" w:pos="567"/>
        </w:tabs>
        <w:spacing w:after="0"/>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046DB066" w14:textId="0CA971D7" w:rsidR="00607EF7" w:rsidRPr="00C677FE" w:rsidRDefault="00607EF7" w:rsidP="00581EC5">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58C8C04F" w14:textId="256E6309" w:rsidR="004A2A09" w:rsidRPr="00581EC5" w:rsidRDefault="004A2A09" w:rsidP="00581EC5">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r w:rsidRPr="00581EC5">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6241B6B1" w14:textId="00F5F5BB" w:rsidR="009C2C46" w:rsidRPr="00581EC5" w:rsidRDefault="004A2A09" w:rsidP="00581EC5">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959B9CF" w14:textId="0F23D4C2" w:rsidR="00420BCA" w:rsidRPr="00581EC5" w:rsidRDefault="0043329B" w:rsidP="00BA7EBB">
      <w:pPr>
        <w:pStyle w:val="Odsekzoznamu"/>
        <w:tabs>
          <w:tab w:val="clear" w:pos="2160"/>
          <w:tab w:val="clear" w:pos="2880"/>
          <w:tab w:val="clear" w:pos="4500"/>
          <w:tab w:val="left" w:pos="567"/>
        </w:tabs>
        <w:ind w:left="567"/>
        <w:jc w:val="both"/>
        <w:rPr>
          <w:rFonts w:ascii="Arial Narrow" w:hAnsi="Arial Narrow"/>
          <w:sz w:val="22"/>
          <w:szCs w:val="22"/>
        </w:rPr>
      </w:pPr>
      <w:bookmarkStart w:id="2" w:name="_Ref71706418"/>
      <w:r w:rsidRPr="00581EC5">
        <w:rPr>
          <w:rFonts w:ascii="Arial Narrow" w:hAnsi="Arial Narrow"/>
          <w:sz w:val="22"/>
          <w:szCs w:val="22"/>
        </w:rPr>
        <w:t xml:space="preserve">Predávajúci sa zaväzuje </w:t>
      </w:r>
      <w:r w:rsidR="00187522" w:rsidRPr="00581EC5">
        <w:rPr>
          <w:rFonts w:ascii="Arial Narrow" w:hAnsi="Arial Narrow"/>
          <w:sz w:val="22"/>
          <w:szCs w:val="22"/>
        </w:rPr>
        <w:t xml:space="preserve">dodať </w:t>
      </w:r>
      <w:r w:rsidRPr="00581EC5">
        <w:rPr>
          <w:rFonts w:ascii="Arial Narrow" w:hAnsi="Arial Narrow"/>
          <w:sz w:val="22"/>
          <w:szCs w:val="22"/>
        </w:rPr>
        <w:t xml:space="preserve">predmet zmluvy Kupujúcemu najneskôr do </w:t>
      </w:r>
      <w:r w:rsidR="004B718D" w:rsidRPr="00581EC5">
        <w:rPr>
          <w:rFonts w:ascii="Arial Narrow" w:hAnsi="Arial Narrow"/>
          <w:sz w:val="22"/>
          <w:szCs w:val="22"/>
          <w:lang w:val="sk-SK"/>
        </w:rPr>
        <w:t>..</w:t>
      </w:r>
      <w:r w:rsidR="00E82488" w:rsidRPr="00581EC5">
        <w:rPr>
          <w:rFonts w:ascii="Arial Narrow" w:hAnsi="Arial Narrow"/>
          <w:sz w:val="22"/>
          <w:szCs w:val="22"/>
          <w:lang w:val="sk-SK"/>
        </w:rPr>
        <w:t>...</w:t>
      </w:r>
      <w:r w:rsidR="004B764A" w:rsidRPr="00581EC5">
        <w:rPr>
          <w:rFonts w:ascii="Arial Narrow" w:hAnsi="Arial Narrow"/>
          <w:i/>
          <w:iCs/>
          <w:sz w:val="22"/>
          <w:szCs w:val="22"/>
          <w:lang w:val="sk-SK"/>
        </w:rPr>
        <w:t>lehota dodania je uvedená vo výzve na predkladanie ponúk</w:t>
      </w:r>
      <w:r w:rsidR="004B718D" w:rsidRPr="00581EC5">
        <w:rPr>
          <w:rFonts w:ascii="Arial Narrow" w:hAnsi="Arial Narrow"/>
          <w:sz w:val="22"/>
          <w:szCs w:val="22"/>
          <w:lang w:val="sk-SK"/>
        </w:rPr>
        <w:t>......</w:t>
      </w:r>
      <w:r w:rsidR="00890A4C" w:rsidRPr="00581EC5">
        <w:rPr>
          <w:rFonts w:ascii="Arial Narrow" w:hAnsi="Arial Narrow"/>
          <w:sz w:val="22"/>
          <w:szCs w:val="22"/>
        </w:rPr>
        <w:t xml:space="preserve"> dní</w:t>
      </w:r>
      <w:r w:rsidR="00DE521C" w:rsidRPr="00581EC5">
        <w:rPr>
          <w:rFonts w:ascii="Arial Narrow" w:hAnsi="Arial Narrow"/>
          <w:sz w:val="22"/>
          <w:szCs w:val="22"/>
        </w:rPr>
        <w:t xml:space="preserve"> </w:t>
      </w:r>
      <w:r w:rsidRPr="00581EC5">
        <w:rPr>
          <w:rFonts w:ascii="Arial Narrow" w:hAnsi="Arial Narrow"/>
          <w:sz w:val="22"/>
          <w:szCs w:val="22"/>
        </w:rPr>
        <w:t>odo dňa nadobudnutia účinnosti tejto zmluvy.</w:t>
      </w:r>
      <w:bookmarkEnd w:id="2"/>
      <w:r w:rsidRPr="00581EC5">
        <w:rPr>
          <w:rFonts w:ascii="Arial Narrow" w:hAnsi="Arial Narrow"/>
          <w:sz w:val="22"/>
          <w:szCs w:val="22"/>
        </w:rPr>
        <w:t xml:space="preserve"> </w:t>
      </w:r>
    </w:p>
    <w:p w14:paraId="2D4D3DD1" w14:textId="77777777" w:rsidR="00581EC5" w:rsidRPr="00581EC5" w:rsidRDefault="00581EC5" w:rsidP="00581EC5">
      <w:pPr>
        <w:pStyle w:val="Odsekzoznamu"/>
        <w:tabs>
          <w:tab w:val="clear" w:pos="2160"/>
          <w:tab w:val="clear" w:pos="2880"/>
          <w:tab w:val="clear" w:pos="4500"/>
        </w:tabs>
        <w:ind w:left="567"/>
        <w:jc w:val="both"/>
        <w:rPr>
          <w:rFonts w:ascii="Arial Narrow" w:hAnsi="Arial Narrow"/>
          <w:strike/>
          <w:sz w:val="22"/>
          <w:szCs w:val="22"/>
        </w:rPr>
      </w:pPr>
    </w:p>
    <w:p w14:paraId="123A243A" w14:textId="6CA5BCE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w:t>
      </w:r>
      <w:r w:rsidR="00E53022" w:rsidRPr="00C677FE">
        <w:rPr>
          <w:rFonts w:ascii="Arial Narrow" w:hAnsi="Arial Narrow"/>
          <w:color w:val="000000"/>
          <w:sz w:val="22"/>
          <w:szCs w:val="22"/>
        </w:rPr>
        <w:lastRenderedPageBreak/>
        <w:t xml:space="preserve">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773DD31F"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E82488">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1BAF7651" w:rsidR="00420BCA"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E82488">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E82488">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596C0708" w14:textId="2E388F34" w:rsidR="008B4313" w:rsidRPr="00C677FE"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4B764A"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 xml:space="preserve">redávajúci v lehote do 30 dní </w:t>
      </w:r>
      <w:r w:rsidR="00145A20" w:rsidRPr="004B764A">
        <w:rPr>
          <w:rFonts w:ascii="Arial Narrow" w:hAnsi="Arial Narrow"/>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C677FE"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76059AA0"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82488">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5E1D6214"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 písm. c) tohto bodu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6CD6579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82488">
        <w:rPr>
          <w:rFonts w:ascii="Arial Narrow" w:hAnsi="Arial Narrow"/>
          <w:sz w:val="22"/>
          <w:szCs w:val="22"/>
        </w:rPr>
        <w:t>4.5</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82488">
        <w:rPr>
          <w:rFonts w:ascii="Arial Narrow" w:hAnsi="Arial Narrow"/>
          <w:sz w:val="22"/>
          <w:szCs w:val="22"/>
        </w:rPr>
        <w:t>4.3</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4EC75A40"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82488">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4F6457D8"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E82488">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E82488">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lastRenderedPageBreak/>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lastRenderedPageBreak/>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C00B" w14:textId="77777777" w:rsidR="00B774A2" w:rsidRDefault="00B774A2" w:rsidP="006E6235">
      <w:r>
        <w:separator/>
      </w:r>
    </w:p>
  </w:endnote>
  <w:endnote w:type="continuationSeparator" w:id="0">
    <w:p w14:paraId="5021FA25" w14:textId="77777777" w:rsidR="00B774A2" w:rsidRDefault="00B774A2"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7426" w14:textId="77777777" w:rsidR="003316DA" w:rsidRDefault="003316D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D818" w14:textId="77777777" w:rsidR="003316DA" w:rsidRDefault="003316D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7A540" w14:textId="77777777" w:rsidR="00B774A2" w:rsidRDefault="00B774A2" w:rsidP="006E6235">
      <w:r>
        <w:separator/>
      </w:r>
    </w:p>
  </w:footnote>
  <w:footnote w:type="continuationSeparator" w:id="0">
    <w:p w14:paraId="43C5712B" w14:textId="77777777" w:rsidR="00B774A2" w:rsidRDefault="00B774A2"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56FD"/>
    <w:rsid w:val="001D6378"/>
    <w:rsid w:val="001E1F67"/>
    <w:rsid w:val="001E6CF6"/>
    <w:rsid w:val="001F49E2"/>
    <w:rsid w:val="0020706A"/>
    <w:rsid w:val="0023320D"/>
    <w:rsid w:val="00241249"/>
    <w:rsid w:val="002450C6"/>
    <w:rsid w:val="002453CD"/>
    <w:rsid w:val="002537BD"/>
    <w:rsid w:val="00253854"/>
    <w:rsid w:val="00254201"/>
    <w:rsid w:val="002761BF"/>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3FE0"/>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13182"/>
    <w:rsid w:val="00514257"/>
    <w:rsid w:val="00514A58"/>
    <w:rsid w:val="0052010E"/>
    <w:rsid w:val="00522313"/>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76181"/>
    <w:rsid w:val="00581EC5"/>
    <w:rsid w:val="00582DCF"/>
    <w:rsid w:val="00584A7D"/>
    <w:rsid w:val="00591EDC"/>
    <w:rsid w:val="0059331A"/>
    <w:rsid w:val="005A7949"/>
    <w:rsid w:val="005B4191"/>
    <w:rsid w:val="005C03FC"/>
    <w:rsid w:val="005C47AE"/>
    <w:rsid w:val="005C71F8"/>
    <w:rsid w:val="005D2300"/>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453C"/>
    <w:rsid w:val="007C7F2F"/>
    <w:rsid w:val="007D1958"/>
    <w:rsid w:val="007E2863"/>
    <w:rsid w:val="007F32BF"/>
    <w:rsid w:val="007F3C88"/>
    <w:rsid w:val="00801CB5"/>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1F21"/>
    <w:rsid w:val="00904E6F"/>
    <w:rsid w:val="00911C47"/>
    <w:rsid w:val="00913D7F"/>
    <w:rsid w:val="0091435F"/>
    <w:rsid w:val="0092116C"/>
    <w:rsid w:val="00930F80"/>
    <w:rsid w:val="0093591E"/>
    <w:rsid w:val="00943B36"/>
    <w:rsid w:val="00945EA5"/>
    <w:rsid w:val="00952D26"/>
    <w:rsid w:val="00964845"/>
    <w:rsid w:val="00965CFF"/>
    <w:rsid w:val="00970C2D"/>
    <w:rsid w:val="00970F25"/>
    <w:rsid w:val="00973437"/>
    <w:rsid w:val="00991CB8"/>
    <w:rsid w:val="009A2ECC"/>
    <w:rsid w:val="009B2474"/>
    <w:rsid w:val="009B4B80"/>
    <w:rsid w:val="009B5231"/>
    <w:rsid w:val="009C26DF"/>
    <w:rsid w:val="009C2C46"/>
    <w:rsid w:val="009D4970"/>
    <w:rsid w:val="009D4F18"/>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7C2"/>
    <w:rsid w:val="00AD44DF"/>
    <w:rsid w:val="00AE0F23"/>
    <w:rsid w:val="00AF484D"/>
    <w:rsid w:val="00B104DE"/>
    <w:rsid w:val="00B11451"/>
    <w:rsid w:val="00B14F67"/>
    <w:rsid w:val="00B1508F"/>
    <w:rsid w:val="00B178BC"/>
    <w:rsid w:val="00B24B4B"/>
    <w:rsid w:val="00B3577D"/>
    <w:rsid w:val="00B54A5E"/>
    <w:rsid w:val="00B55930"/>
    <w:rsid w:val="00B56FEB"/>
    <w:rsid w:val="00B60143"/>
    <w:rsid w:val="00B70904"/>
    <w:rsid w:val="00B75CB3"/>
    <w:rsid w:val="00B774A2"/>
    <w:rsid w:val="00B842FC"/>
    <w:rsid w:val="00B86834"/>
    <w:rsid w:val="00B900B2"/>
    <w:rsid w:val="00B9305E"/>
    <w:rsid w:val="00B9434E"/>
    <w:rsid w:val="00B97C6D"/>
    <w:rsid w:val="00BA2525"/>
    <w:rsid w:val="00BA2865"/>
    <w:rsid w:val="00BB0F5B"/>
    <w:rsid w:val="00BB278D"/>
    <w:rsid w:val="00BB427D"/>
    <w:rsid w:val="00BB68B1"/>
    <w:rsid w:val="00BC466F"/>
    <w:rsid w:val="00BD06D6"/>
    <w:rsid w:val="00BD4E82"/>
    <w:rsid w:val="00BE3FD2"/>
    <w:rsid w:val="00BF0AE1"/>
    <w:rsid w:val="00BF23DB"/>
    <w:rsid w:val="00C1403F"/>
    <w:rsid w:val="00C369D4"/>
    <w:rsid w:val="00C37633"/>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8197F"/>
    <w:rsid w:val="00E82488"/>
    <w:rsid w:val="00EA1188"/>
    <w:rsid w:val="00EB0FB7"/>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81CEC"/>
    <w:rsid w:val="00F81D68"/>
    <w:rsid w:val="00F825A4"/>
    <w:rsid w:val="00F932FD"/>
    <w:rsid w:val="00FA2188"/>
    <w:rsid w:val="00FA2A04"/>
    <w:rsid w:val="00FA370F"/>
    <w:rsid w:val="00FA554E"/>
    <w:rsid w:val="00FB742D"/>
    <w:rsid w:val="00FC2417"/>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11</Pages>
  <Words>3209</Words>
  <Characters>18297</Characters>
  <Application>Microsoft Office Word</Application>
  <DocSecurity>0</DocSecurity>
  <Lines>152</Lines>
  <Paragraphs>42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140</cp:revision>
  <cp:lastPrinted>2020-09-23T13:30:00Z</cp:lastPrinted>
  <dcterms:created xsi:type="dcterms:W3CDTF">2020-10-26T09:25:00Z</dcterms:created>
  <dcterms:modified xsi:type="dcterms:W3CDTF">2022-11-07T09:49:00Z</dcterms:modified>
</cp:coreProperties>
</file>