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proofErr w:type="spellStart"/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</w:t>
      </w:r>
      <w:proofErr w:type="spellEnd"/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  <w:proofErr w:type="spellStart"/>
      <w:r w:rsidRPr="00FC1F46">
        <w:rPr>
          <w:rFonts w:ascii="Arial Narrow" w:eastAsia="Calibri" w:hAnsi="Arial Narrow"/>
          <w:sz w:val="24"/>
          <w:szCs w:val="24"/>
          <w:lang w:eastAsia="en-US"/>
        </w:rPr>
        <w:t>www.minv.sk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:rsidTr="006626AD"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7F15A8">
        <w:rPr>
          <w:rFonts w:ascii="Arial Narrow" w:hAnsi="Arial Narrow" w:cs="Arial"/>
          <w:b/>
          <w:sz w:val="24"/>
          <w:szCs w:val="24"/>
        </w:rPr>
        <w:t xml:space="preserve">a č. 3 Ovocie a </w:t>
      </w:r>
      <w:proofErr w:type="spellStart"/>
      <w:r w:rsidR="007F15A8">
        <w:rPr>
          <w:rFonts w:ascii="Arial Narrow" w:hAnsi="Arial Narrow" w:cs="Arial"/>
          <w:b/>
          <w:sz w:val="24"/>
          <w:szCs w:val="24"/>
        </w:rPr>
        <w:t>zelenina</w:t>
      </w:r>
      <w:r w:rsidR="00686711" w:rsidRPr="00686711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7F15A8">
        <w:rPr>
          <w:rFonts w:ascii="Arial Narrow" w:eastAsia="Calibri" w:hAnsi="Arial Narrow" w:cs="Arial"/>
          <w:b/>
          <w:sz w:val="24"/>
          <w:szCs w:val="24"/>
          <w:lang w:eastAsia="en-US"/>
        </w:rPr>
        <w:t>Ovocie a </w:t>
      </w:r>
      <w:proofErr w:type="spellStart"/>
      <w:r w:rsidR="007F15A8">
        <w:rPr>
          <w:rFonts w:ascii="Arial Narrow" w:eastAsia="Calibri" w:hAnsi="Arial Narrow" w:cs="Arial"/>
          <w:b/>
          <w:sz w:val="24"/>
          <w:szCs w:val="24"/>
          <w:lang w:eastAsia="en-US"/>
        </w:rPr>
        <w:t>zelenina_KE</w:t>
      </w:r>
      <w:proofErr w:type="spellEnd"/>
      <w:r w:rsidR="007F15A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2022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“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7F15A8" w:rsidRPr="007F15A8">
        <w:rPr>
          <w:rFonts w:ascii="Arial Narrow" w:eastAsia="Calibri" w:hAnsi="Arial Narrow" w:cs="Arial"/>
          <w:sz w:val="24"/>
          <w:szCs w:val="24"/>
          <w:lang w:eastAsia="en-US"/>
        </w:rPr>
        <w:t>34437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7F15A8">
        <w:rPr>
          <w:rFonts w:ascii="Arial Narrow" w:hAnsi="Arial Narrow" w:cs="Arial"/>
          <w:sz w:val="24"/>
          <w:szCs w:val="24"/>
        </w:rPr>
        <w:t xml:space="preserve">ovocia a zeleniny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:rsidR="00CB70CA" w:rsidRDefault="00322F8A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322F8A">
        <w:rPr>
          <w:rFonts w:ascii="Arial Narrow" w:hAnsi="Arial Narrow" w:cs="Arial"/>
          <w:sz w:val="24"/>
          <w:szCs w:val="24"/>
          <w:lang w:eastAsia="en-US"/>
        </w:rPr>
        <w:t>d)</w:t>
      </w:r>
      <w:r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</w:t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Z.z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>. o potravinách v znení neskorších predpisov na preukázanie súhlasu štátneho orgánu so skladovaním a distribúciou predmetu zákazky</w:t>
      </w:r>
      <w:r w:rsidR="00720796" w:rsidRPr="00720796">
        <w:rPr>
          <w:rFonts w:ascii="Arial Narrow" w:hAnsi="Arial Narrow" w:cs="Arial"/>
          <w:sz w:val="24"/>
          <w:szCs w:val="24"/>
          <w:lang w:eastAsia="en-US"/>
        </w:rPr>
        <w:t>.</w:t>
      </w:r>
    </w:p>
    <w:p w:rsidR="00720796" w:rsidRPr="00185A30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 xml:space="preserve">a zodpovednosť za </w:t>
      </w:r>
      <w:proofErr w:type="spellStart"/>
      <w:r w:rsidR="00A4774D" w:rsidRPr="00185A30">
        <w:rPr>
          <w:rFonts w:ascii="Arial Narrow" w:hAnsi="Arial Narrow" w:cs="Calibri"/>
          <w:sz w:val="24"/>
          <w:szCs w:val="24"/>
        </w:rPr>
        <w:t>vady</w:t>
      </w:r>
      <w:proofErr w:type="spellEnd"/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</w:t>
      </w:r>
      <w:proofErr w:type="spellStart"/>
      <w:r w:rsidRPr="00185A30">
        <w:rPr>
          <w:rFonts w:ascii="Arial Narrow" w:hAnsi="Arial Narrow"/>
          <w:b/>
          <w:sz w:val="24"/>
          <w:szCs w:val="24"/>
        </w:rPr>
        <w:t>vád</w:t>
      </w:r>
      <w:proofErr w:type="spellEnd"/>
      <w:r w:rsidRPr="00185A30">
        <w:rPr>
          <w:rFonts w:ascii="Arial Narrow" w:hAnsi="Arial Narrow"/>
          <w:b/>
          <w:sz w:val="24"/>
          <w:szCs w:val="24"/>
        </w:rPr>
        <w:t xml:space="preserve"> tovaru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dodaného tovaru písomne (e-mailom resp. faxom) do 24 hodín od prevzatia tovaru okrem zjavných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>, t. j. množstva, druhu a viditeľného poškodenia, ktoré je povinný reklamovať písomne ihneď pri prevzatí tovaru.</w:t>
      </w:r>
    </w:p>
    <w:p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neodobratie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 tovaru podľa čl. VIII tejto zmluvy.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</w:t>
      </w:r>
      <w:proofErr w:type="spellStart"/>
      <w:r w:rsidR="00705AC1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185A30">
        <w:rPr>
          <w:rFonts w:ascii="Arial Narrow" w:hAnsi="Arial Narrow" w:cs="Arial"/>
          <w:sz w:val="24"/>
          <w:szCs w:val="24"/>
        </w:rPr>
        <w:t xml:space="preserve">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</w:t>
      </w:r>
      <w:proofErr w:type="spellStart"/>
      <w:r w:rsidR="00705AC1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185A30">
        <w:rPr>
          <w:rFonts w:ascii="Arial Narrow" w:hAnsi="Arial Narrow" w:cs="Arial"/>
          <w:sz w:val="24"/>
          <w:szCs w:val="24"/>
        </w:rPr>
        <w:t>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bookmarkStart w:id="2" w:name="_GoBack"/>
      <w:bookmarkEnd w:id="2"/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 </w:t>
      </w:r>
      <w:r w:rsidR="00D86A9A" w:rsidRPr="00185A30">
        <w:rPr>
          <w:rFonts w:ascii="Arial Narrow" w:hAnsi="Arial Narrow"/>
          <w:sz w:val="24"/>
          <w:szCs w:val="24"/>
        </w:rPr>
        <w:t>šiestich(6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D86A9A" w:rsidRPr="00185A30">
        <w:rPr>
          <w:rFonts w:ascii="Arial Narrow" w:hAnsi="Arial Narrow"/>
          <w:sz w:val="24"/>
          <w:szCs w:val="24"/>
        </w:rPr>
        <w:t>štyri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D86A9A" w:rsidRPr="00185A30">
        <w:rPr>
          <w:rFonts w:ascii="Arial Narrow" w:hAnsi="Arial Narrow"/>
          <w:sz w:val="24"/>
          <w:szCs w:val="24"/>
        </w:rPr>
        <w:t>4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8A4" w:rsidRDefault="002C38A4">
      <w:r>
        <w:separator/>
      </w:r>
    </w:p>
  </w:endnote>
  <w:endnote w:type="continuationSeparator" w:id="0">
    <w:p w:rsidR="002C38A4" w:rsidRDefault="002C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</w:t>
    </w:r>
    <w:r w:rsidRPr="00A27E57">
      <w:rPr>
        <w:rFonts w:ascii="Arial Narrow" w:hAnsi="Arial Narrow" w:cs="Arial"/>
        <w:i/>
        <w:color w:val="808080"/>
      </w:rPr>
      <w:t>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2C38A4">
      <w:fldChar w:fldCharType="begin"/>
    </w:r>
    <w:r w:rsidR="002C38A4">
      <w:instrText xml:space="preserve"> NUMPAGES  \* Arabic  \* MERGEFORMAT </w:instrText>
    </w:r>
    <w:r w:rsidR="002C38A4">
      <w:fldChar w:fldCharType="separate"/>
    </w:r>
    <w:r w:rsidR="00F27543">
      <w:rPr>
        <w:rFonts w:ascii="Arial Narrow" w:hAnsi="Arial Narrow" w:cs="Arial"/>
        <w:noProof/>
        <w:color w:val="000000"/>
        <w:sz w:val="22"/>
        <w:szCs w:val="22"/>
      </w:rPr>
      <w:t>8</w:t>
    </w:r>
    <w:r w:rsidR="002C38A4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:rsidR="00A27E57" w:rsidRDefault="00A27E57">
    <w:pPr>
      <w:pStyle w:val="Pta"/>
    </w:pPr>
  </w:p>
  <w:p w:rsidR="00096C84" w:rsidRDefault="00096C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8A4" w:rsidRDefault="002C38A4">
      <w:r>
        <w:separator/>
      </w:r>
    </w:p>
  </w:footnote>
  <w:footnote w:type="continuationSeparator" w:id="0">
    <w:p w:rsidR="002C38A4" w:rsidRDefault="002C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096C84" w:rsidRDefault="00096C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:rsidR="00096C84" w:rsidRDefault="00096C8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2C38A4" w:rsidP="00C656F1">
    <w:pPr>
      <w:pStyle w:val="Zkladntext3"/>
    </w:pPr>
    <w:r>
      <w:pict>
        <v:line id="Line 1" o:sp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  <w:p w:rsidR="00096C84" w:rsidRDefault="00096C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lvia Uhlíková">
    <w15:presenceInfo w15:providerId="None" w15:userId="Silvia Uhl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5A8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Normln1">
    <w:name w:val="Style3"/>
    <w:pPr>
      <w:numPr>
        <w:numId w:val="5"/>
      </w:numPr>
    </w:pPr>
  </w:style>
  <w:style w:type="numbering" w:customStyle="1" w:styleId="Hlavika">
    <w:name w:val="tl51"/>
    <w:pPr>
      <w:numPr>
        <w:numId w:val="2"/>
      </w:numPr>
    </w:pPr>
  </w:style>
  <w:style w:type="numbering" w:customStyle="1" w:styleId="Nzov">
    <w:name w:val="tl1"/>
    <w:pPr>
      <w:numPr>
        <w:numId w:val="3"/>
      </w:numPr>
    </w:pPr>
  </w:style>
  <w:style w:type="numbering" w:customStyle="1" w:styleId="Zkladntext3">
    <w:name w:val="tl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59D06-25B5-46E8-8A71-FCF4ABBF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3258</Words>
  <Characters>18576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21791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11</cp:revision>
  <cp:lastPrinted>2022-09-26T12:11:00Z</cp:lastPrinted>
  <dcterms:created xsi:type="dcterms:W3CDTF">2022-09-29T12:10:00Z</dcterms:created>
  <dcterms:modified xsi:type="dcterms:W3CDTF">2022-11-14T09:28:00Z</dcterms:modified>
</cp:coreProperties>
</file>