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7842D8" w:rsidRDefault="00B320AE" w:rsidP="00AD612E">
      <w:pPr>
        <w:tabs>
          <w:tab w:val="right" w:leader="dot" w:pos="10080"/>
        </w:tabs>
        <w:rPr>
          <w:b/>
        </w:rPr>
      </w:pPr>
      <w:bookmarkStart w:id="0" w:name="_GoBack"/>
      <w:bookmarkEnd w:id="0"/>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17C6F0E8" w14:textId="2AA24E69" w:rsidR="00EE6078" w:rsidRDefault="00F552BC" w:rsidP="00F552BC">
      <w:pPr>
        <w:pStyle w:val="Default"/>
        <w:jc w:val="center"/>
        <w:rPr>
          <w:rFonts w:ascii="Times New Roman" w:eastAsia="Arial"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w:t>
      </w:r>
      <w:r w:rsidR="00BC3BBD">
        <w:rPr>
          <w:rFonts w:ascii="Times New Roman" w:eastAsia="Arial" w:hAnsi="Times New Roman" w:cs="Times New Roman"/>
        </w:rPr>
        <w:t>elektronického prostriedku</w:t>
      </w:r>
      <w:r w:rsidR="00E97C49" w:rsidRPr="007842D8">
        <w:rPr>
          <w:rFonts w:ascii="Times New Roman" w:eastAsia="Arial" w:hAnsi="Times New Roman" w:cs="Times New Roman"/>
        </w:rPr>
        <w:t xml:space="preserve"> s</w:t>
      </w:r>
      <w:r w:rsidR="00EE6078">
        <w:rPr>
          <w:rFonts w:ascii="Times New Roman" w:eastAsia="Arial" w:hAnsi="Times New Roman" w:cs="Times New Roman"/>
        </w:rPr>
        <w:t> </w:t>
      </w:r>
      <w:r w:rsidR="00E97C49" w:rsidRPr="007842D8">
        <w:rPr>
          <w:rFonts w:ascii="Times New Roman" w:eastAsia="Arial" w:hAnsi="Times New Roman" w:cs="Times New Roman"/>
        </w:rPr>
        <w:t>predmetom</w:t>
      </w:r>
    </w:p>
    <w:p w14:paraId="2FA6E10C" w14:textId="77777777" w:rsidR="00EE6078" w:rsidRDefault="00EE6078" w:rsidP="00F552BC">
      <w:pPr>
        <w:pStyle w:val="Default"/>
        <w:jc w:val="center"/>
        <w:rPr>
          <w:rFonts w:ascii="Times New Roman" w:eastAsia="Arial" w:hAnsi="Times New Roman" w:cs="Times New Roman"/>
        </w:rPr>
      </w:pPr>
    </w:p>
    <w:p w14:paraId="04328385" w14:textId="0AF65211" w:rsidR="00F552BC" w:rsidRPr="00C21AEA" w:rsidRDefault="00E97C49" w:rsidP="00F552BC">
      <w:pPr>
        <w:pStyle w:val="Default"/>
        <w:jc w:val="center"/>
        <w:rPr>
          <w:rFonts w:ascii="Times New Roman" w:hAnsi="Times New Roman" w:cs="Times New Roman"/>
          <w:b/>
          <w:color w:val="auto"/>
          <w:sz w:val="32"/>
          <w:szCs w:val="32"/>
        </w:rPr>
      </w:pPr>
      <w:r w:rsidRPr="00C21AEA">
        <w:rPr>
          <w:rFonts w:ascii="Times New Roman" w:eastAsia="Arial" w:hAnsi="Times New Roman" w:cs="Times New Roman"/>
          <w:b/>
          <w:color w:val="auto"/>
          <w:sz w:val="32"/>
          <w:szCs w:val="32"/>
        </w:rPr>
        <w:t xml:space="preserve"> </w:t>
      </w:r>
      <w:r w:rsidR="00B320AE" w:rsidRPr="00C21AEA">
        <w:rPr>
          <w:rFonts w:ascii="Times New Roman" w:eastAsia="Arial" w:hAnsi="Times New Roman" w:cs="Times New Roman"/>
          <w:b/>
          <w:color w:val="auto"/>
          <w:sz w:val="32"/>
          <w:szCs w:val="32"/>
        </w:rPr>
        <w:t>„</w:t>
      </w:r>
      <w:r w:rsidR="00C21AEA" w:rsidRPr="00C21AEA">
        <w:rPr>
          <w:rFonts w:ascii="Times New Roman" w:hAnsi="Times New Roman" w:cs="Times New Roman"/>
          <w:b/>
          <w:color w:val="auto"/>
          <w:sz w:val="32"/>
          <w:szCs w:val="32"/>
        </w:rPr>
        <w:t>Osobné ochranné pracovné prostriedky,  odevy, obuv a iné DNS</w:t>
      </w:r>
      <w:r w:rsidR="00355275">
        <w:rPr>
          <w:rFonts w:ascii="Times New Roman" w:eastAsia="Arial" w:hAnsi="Times New Roman" w:cs="Times New Roman"/>
          <w:b/>
          <w:color w:val="auto"/>
          <w:sz w:val="32"/>
          <w:szCs w:val="32"/>
        </w:rPr>
        <w:t>“</w:t>
      </w: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400C5AA" w14:textId="77777777" w:rsidR="00C21AEA" w:rsidRPr="00C21AEA" w:rsidRDefault="00F552BC" w:rsidP="00C21AEA">
      <w:pPr>
        <w:pStyle w:val="Default"/>
        <w:jc w:val="center"/>
        <w:rPr>
          <w:rFonts w:ascii="Times New Roman" w:eastAsia="Arial" w:hAnsi="Times New Roman" w:cs="Times New Roman"/>
          <w:b/>
          <w:color w:val="auto"/>
          <w:sz w:val="32"/>
          <w:szCs w:val="32"/>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p>
    <w:p w14:paraId="39F76C41" w14:textId="38879E91" w:rsidR="00C21AEA" w:rsidRPr="00C21AEA" w:rsidRDefault="00C21AEA" w:rsidP="00C21AEA">
      <w:pPr>
        <w:pStyle w:val="Default"/>
        <w:jc w:val="center"/>
        <w:rPr>
          <w:rFonts w:ascii="Times New Roman" w:hAnsi="Times New Roman" w:cs="Times New Roman"/>
          <w:b/>
          <w:color w:val="auto"/>
          <w:sz w:val="32"/>
          <w:szCs w:val="32"/>
        </w:rPr>
      </w:pPr>
      <w:r w:rsidRPr="00C21AEA">
        <w:rPr>
          <w:rFonts w:ascii="Times New Roman" w:eastAsia="Arial" w:hAnsi="Times New Roman" w:cs="Times New Roman"/>
          <w:b/>
          <w:color w:val="auto"/>
          <w:sz w:val="32"/>
          <w:szCs w:val="32"/>
        </w:rPr>
        <w:t>„</w:t>
      </w:r>
      <w:r w:rsidRPr="00C21AEA">
        <w:rPr>
          <w:rFonts w:ascii="Times New Roman" w:hAnsi="Times New Roman" w:cs="Times New Roman"/>
          <w:b/>
          <w:color w:val="auto"/>
          <w:sz w:val="32"/>
          <w:szCs w:val="32"/>
        </w:rPr>
        <w:t xml:space="preserve">Osobné ochranné pracovné prostriedky,  odevy, obuv a </w:t>
      </w:r>
      <w:proofErr w:type="spellStart"/>
      <w:r w:rsidRPr="00C21AEA">
        <w:rPr>
          <w:rFonts w:ascii="Times New Roman" w:hAnsi="Times New Roman" w:cs="Times New Roman"/>
          <w:b/>
          <w:color w:val="auto"/>
          <w:sz w:val="32"/>
          <w:szCs w:val="32"/>
        </w:rPr>
        <w:t>iné</w:t>
      </w:r>
      <w:r>
        <w:rPr>
          <w:rFonts w:ascii="Times New Roman" w:hAnsi="Times New Roman" w:cs="Times New Roman"/>
          <w:b/>
          <w:color w:val="auto"/>
          <w:sz w:val="32"/>
          <w:szCs w:val="32"/>
        </w:rPr>
        <w:t>_</w:t>
      </w:r>
      <w:r w:rsidRPr="00C21AEA">
        <w:rPr>
          <w:rFonts w:ascii="Times New Roman" w:hAnsi="Times New Roman" w:cs="Times New Roman"/>
          <w:b/>
          <w:color w:val="auto"/>
          <w:sz w:val="32"/>
          <w:szCs w:val="32"/>
        </w:rPr>
        <w:t>DNS</w:t>
      </w:r>
      <w:proofErr w:type="spellEnd"/>
      <w:r w:rsidRPr="00C21AEA">
        <w:rPr>
          <w:rFonts w:ascii="Times New Roman" w:eastAsia="Arial" w:hAnsi="Times New Roman" w:cs="Times New Roman"/>
          <w:b/>
          <w:color w:val="auto"/>
          <w:sz w:val="32"/>
          <w:szCs w:val="32"/>
        </w:rPr>
        <w:t>“.</w:t>
      </w:r>
    </w:p>
    <w:p w14:paraId="5879E77C" w14:textId="7B08FFCC" w:rsidR="00F552BC" w:rsidRPr="0047143B" w:rsidRDefault="00E97C49" w:rsidP="0047143B">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 výzva č. </w:t>
      </w:r>
      <w:proofErr w:type="spellStart"/>
      <w:r w:rsidRPr="00275B2A">
        <w:rPr>
          <w:rFonts w:ascii="Arial Narrow" w:eastAsia="Arial" w:hAnsi="Arial Narrow" w:cstheme="majorHAnsi"/>
          <w:b/>
          <w:bCs/>
          <w:color w:val="auto"/>
          <w:sz w:val="40"/>
          <w:szCs w:val="40"/>
        </w:rPr>
        <w:t>xxxx</w:t>
      </w:r>
      <w:proofErr w:type="spellEnd"/>
    </w:p>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proofErr w:type="spellStart"/>
      <w:r w:rsidR="001F3326" w:rsidRPr="001F3326">
        <w:rPr>
          <w:highlight w:val="yellow"/>
        </w:rPr>
        <w:t>xxxxxx</w:t>
      </w:r>
      <w:proofErr w:type="spellEnd"/>
      <w:r w:rsidRPr="007842D8">
        <w:t xml:space="preserve">, </w:t>
      </w:r>
      <w:r w:rsidR="005E0998">
        <w:t xml:space="preserve">dňa </w:t>
      </w:r>
      <w:proofErr w:type="spellStart"/>
      <w:r w:rsidR="00201C07" w:rsidRPr="005E0998">
        <w:rPr>
          <w:highlight w:val="yellow"/>
        </w:rPr>
        <w:t>xxxxxx</w:t>
      </w:r>
      <w:proofErr w:type="spellEnd"/>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proofErr w:type="spellStart"/>
      <w:r w:rsidR="00C07D9A" w:rsidRPr="00EF14A5">
        <w:rPr>
          <w:highlight w:val="yellow"/>
        </w:rPr>
        <w:t>xxxxxxxxxxxxxxxxxxxxxxxxxxxxxxx</w:t>
      </w:r>
      <w:proofErr w:type="spellEnd"/>
    </w:p>
    <w:p w14:paraId="382A3678" w14:textId="77777777" w:rsidR="00814958" w:rsidRPr="007842D8" w:rsidRDefault="00814958" w:rsidP="007842D8">
      <w:pPr>
        <w:spacing w:line="276" w:lineRule="auto"/>
        <w:jc w:val="both"/>
      </w:pPr>
      <w:r w:rsidRPr="007842D8">
        <w:t>Zastúpený</w:t>
      </w:r>
      <w:r w:rsidRPr="007842D8">
        <w:tab/>
      </w:r>
      <w:proofErr w:type="spellStart"/>
      <w:r w:rsidR="00C07D9A" w:rsidRPr="00EF14A5">
        <w:rPr>
          <w:highlight w:val="yellow"/>
        </w:rPr>
        <w:t>xxxxxxxxxxxxxxxxxxxxxxxxxxxxxxx</w:t>
      </w:r>
      <w:proofErr w:type="spellEnd"/>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proofErr w:type="spellStart"/>
      <w:r w:rsidR="00C07D9A" w:rsidRPr="00EF14A5">
        <w:rPr>
          <w:highlight w:val="yellow"/>
        </w:rPr>
        <w:t>xxxxxxxxxxxxxxxxxxxxxxxxxxxxxxx</w:t>
      </w:r>
      <w:proofErr w:type="spellEnd"/>
    </w:p>
    <w:p w14:paraId="12DABE90" w14:textId="77777777" w:rsidR="00814958" w:rsidRPr="007842D8" w:rsidRDefault="00814958" w:rsidP="007842D8">
      <w:pPr>
        <w:spacing w:line="276" w:lineRule="auto"/>
        <w:jc w:val="both"/>
      </w:pPr>
      <w:r w:rsidRPr="007842D8">
        <w:t>IČO:</w:t>
      </w:r>
      <w:r w:rsidRPr="007842D8">
        <w:tab/>
      </w:r>
      <w:proofErr w:type="spellStart"/>
      <w:r w:rsidR="00C07D9A" w:rsidRPr="00EF14A5">
        <w:rPr>
          <w:highlight w:val="yellow"/>
        </w:rPr>
        <w:t>xxxxxxxxxxxxxxxxxxxxxxxxxxxxxxx</w:t>
      </w:r>
      <w:proofErr w:type="spellEnd"/>
    </w:p>
    <w:p w14:paraId="6CCD6217" w14:textId="77777777" w:rsidR="00814958" w:rsidRPr="007842D8" w:rsidRDefault="00814958" w:rsidP="007842D8">
      <w:pPr>
        <w:spacing w:line="276" w:lineRule="auto"/>
        <w:jc w:val="both"/>
      </w:pPr>
      <w:r w:rsidRPr="007842D8">
        <w:t>Kontaktná osoba:</w:t>
      </w:r>
      <w:r w:rsidRPr="007842D8">
        <w:tab/>
      </w:r>
      <w:proofErr w:type="spellStart"/>
      <w:r w:rsidR="00C07D9A" w:rsidRPr="00EF14A5">
        <w:rPr>
          <w:highlight w:val="yellow"/>
        </w:rPr>
        <w:t>xxxxxxxxxxxxxxxxxxxxxxxxxxxxxxx</w:t>
      </w:r>
      <w:proofErr w:type="spellEnd"/>
    </w:p>
    <w:p w14:paraId="1E390D02" w14:textId="77777777" w:rsidR="00814958" w:rsidRPr="007842D8" w:rsidRDefault="00814958" w:rsidP="007842D8">
      <w:pPr>
        <w:spacing w:line="276" w:lineRule="auto"/>
        <w:jc w:val="both"/>
      </w:pPr>
      <w:r w:rsidRPr="007842D8">
        <w:t>Telefón:</w:t>
      </w:r>
      <w:r w:rsidRPr="007842D8">
        <w:tab/>
      </w:r>
      <w:proofErr w:type="spellStart"/>
      <w:r w:rsidR="00C07D9A" w:rsidRPr="00EF14A5">
        <w:rPr>
          <w:highlight w:val="yellow"/>
        </w:rPr>
        <w:t>xxxxxxxxxxxxxxxxxxxxxxxxxxxxxxx</w:t>
      </w:r>
      <w:proofErr w:type="spellEnd"/>
    </w:p>
    <w:p w14:paraId="0DB4DAEC" w14:textId="77777777" w:rsidR="00814958" w:rsidRPr="008D5ACD" w:rsidRDefault="00814958" w:rsidP="007842D8">
      <w:pPr>
        <w:spacing w:line="276" w:lineRule="auto"/>
        <w:jc w:val="both"/>
      </w:pPr>
      <w:r w:rsidRPr="007842D8">
        <w:t>E-</w:t>
      </w:r>
      <w:r w:rsidRPr="008D5ACD">
        <w:t>mail:</w:t>
      </w:r>
      <w:r w:rsidRPr="008D5ACD">
        <w:tab/>
      </w:r>
      <w:hyperlink r:id="rId8" w:history="1">
        <w:proofErr w:type="spellStart"/>
        <w:r w:rsidR="00C07D9A" w:rsidRPr="008D5ACD">
          <w:rPr>
            <w:rStyle w:val="Hypertextovprepojenie"/>
            <w:highlight w:val="yellow"/>
          </w:rPr>
          <w:t>xxxxxxxxxxxxxxxxx</w:t>
        </w:r>
        <w:r w:rsidRPr="008D5ACD">
          <w:rPr>
            <w:rStyle w:val="Hypertextovprepojenie"/>
            <w:highlight w:val="yellow"/>
          </w:rPr>
          <w:t>@</w:t>
        </w:r>
        <w:r w:rsidR="00C07D9A" w:rsidRPr="008D5ACD">
          <w:rPr>
            <w:rStyle w:val="Hypertextovprepojenie"/>
            <w:highlight w:val="yellow"/>
          </w:rPr>
          <w:t>xxxxxxxxxxxx</w:t>
        </w:r>
        <w:proofErr w:type="spellEnd"/>
      </w:hyperlink>
    </w:p>
    <w:p w14:paraId="6E3F575D" w14:textId="77777777" w:rsidR="00814958" w:rsidRPr="008D5ACD" w:rsidRDefault="00814958" w:rsidP="007842D8">
      <w:pPr>
        <w:spacing w:line="276" w:lineRule="auto"/>
        <w:jc w:val="both"/>
      </w:pPr>
      <w:r w:rsidRPr="008D5ACD">
        <w:t xml:space="preserve">Adresa stránky, kde je možný prístup k dokumentácií VO: </w:t>
      </w:r>
      <w:hyperlink r:id="rId9" w:history="1">
        <w:r w:rsidR="00936C79" w:rsidRPr="008D5ACD">
          <w:rPr>
            <w:rStyle w:val="Hypertextovprepojenie"/>
          </w:rPr>
          <w:t>https://josephine.proebiz.com/</w:t>
        </w:r>
      </w:hyperlink>
    </w:p>
    <w:p w14:paraId="0F077D81" w14:textId="15BFB5F2" w:rsidR="00814958" w:rsidRPr="008D5ACD" w:rsidRDefault="00814958" w:rsidP="00814958">
      <w:pPr>
        <w:rPr>
          <w:lang w:eastAsia="en-US"/>
        </w:rPr>
      </w:pPr>
    </w:p>
    <w:p w14:paraId="5AC7D7AF" w14:textId="77777777" w:rsidR="008D5ACD" w:rsidRPr="00C03616" w:rsidRDefault="008D5ACD" w:rsidP="008D5ACD">
      <w:pPr>
        <w:spacing w:line="276" w:lineRule="auto"/>
        <w:jc w:val="both"/>
      </w:pPr>
      <w:r w:rsidRPr="00C03616">
        <w:t>Adresa stránky, kde je možný prístup k dokumentácií VO:</w:t>
      </w:r>
    </w:p>
    <w:p w14:paraId="3FAA2E30" w14:textId="0A18FDE5" w:rsidR="008D5ACD" w:rsidRPr="00C03616" w:rsidRDefault="008D5ACD" w:rsidP="008D5ACD">
      <w:pPr>
        <w:spacing w:line="276" w:lineRule="auto"/>
        <w:jc w:val="both"/>
      </w:pPr>
      <w:r w:rsidRPr="00C03616">
        <w:t xml:space="preserve">KO: </w:t>
      </w:r>
      <w:hyperlink r:id="rId10" w:history="1">
        <w:r w:rsidRPr="00C03616">
          <w:rPr>
            <w:rStyle w:val="Hypertextovprepojenie"/>
          </w:rPr>
          <w:t>https://josephine.proebiz.com/sk/tender/XXXXXX</w:t>
        </w:r>
      </w:hyperlink>
    </w:p>
    <w:p w14:paraId="7EBACA90" w14:textId="2973AE73" w:rsidR="008D5ACD" w:rsidRPr="00C03616" w:rsidRDefault="008D5ACD" w:rsidP="008D5ACD">
      <w:pPr>
        <w:spacing w:line="276" w:lineRule="auto"/>
        <w:jc w:val="both"/>
      </w:pPr>
      <w:r w:rsidRPr="00C03616">
        <w:t xml:space="preserve">DNS: </w:t>
      </w:r>
      <w:hyperlink r:id="rId11" w:history="1">
        <w:r w:rsidRPr="00C03616">
          <w:rPr>
            <w:rStyle w:val="Hypertextovprepojenie"/>
          </w:rPr>
          <w:t>https://josephine.proebiz.com/sk/tender/XXXXXXXXy</w:t>
        </w:r>
      </w:hyperlink>
    </w:p>
    <w:p w14:paraId="5EFA026D" w14:textId="77777777" w:rsidR="008D5ACD" w:rsidRPr="00C03616" w:rsidRDefault="008D5ACD" w:rsidP="008D5ACD">
      <w:pPr>
        <w:spacing w:line="276" w:lineRule="auto"/>
        <w:jc w:val="both"/>
      </w:pPr>
    </w:p>
    <w:p w14:paraId="383C0336" w14:textId="2AA60A9D" w:rsidR="008D5ACD" w:rsidRPr="00C03616" w:rsidRDefault="008D5ACD" w:rsidP="00C03616">
      <w:pPr>
        <w:spacing w:line="276" w:lineRule="auto"/>
      </w:pPr>
      <w:r w:rsidRPr="00C03616">
        <w:t xml:space="preserve">Oznámenie o vyhlásení VO: </w:t>
      </w:r>
      <w:hyperlink r:id="rId12" w:history="1">
        <w:r w:rsidRPr="00C03616">
          <w:rPr>
            <w:rStyle w:val="Hypertextovprepojenie"/>
          </w:rPr>
          <w:t>https://www.uvo.gov.sk/vyhladavanie-zakaziek/detail/oznamenia/XXXXXXX</w:t>
        </w:r>
      </w:hyperlink>
    </w:p>
    <w:p w14:paraId="76B3C32D" w14:textId="3112FB61" w:rsidR="008D5ACD" w:rsidRDefault="008D5ACD" w:rsidP="00814958">
      <w:pPr>
        <w:rPr>
          <w:lang w:eastAsia="en-US"/>
        </w:rPr>
      </w:pPr>
    </w:p>
    <w:p w14:paraId="40427DC6" w14:textId="77777777" w:rsidR="008D5ACD" w:rsidRPr="007842D8" w:rsidRDefault="008D5ACD"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0"/>
      <w:r w:rsidRPr="00BC3BBD">
        <w:rPr>
          <w:rFonts w:asciiTheme="majorHAnsi" w:hAnsiTheme="majorHAnsi" w:cstheme="majorHAnsi"/>
          <w:bCs/>
          <w:color w:val="2F5496" w:themeColor="accent1" w:themeShade="BF"/>
          <w:sz w:val="36"/>
          <w:szCs w:val="36"/>
        </w:rPr>
        <w:t>Predmet zákazky</w:t>
      </w:r>
      <w:bookmarkEnd w:id="1"/>
    </w:p>
    <w:p w14:paraId="2101D128" w14:textId="1E7A9613" w:rsidR="00BA7D76" w:rsidRPr="00C21AEA" w:rsidRDefault="00BC4B6D" w:rsidP="00C21AEA">
      <w:pPr>
        <w:spacing w:line="276" w:lineRule="auto"/>
        <w:jc w:val="both"/>
        <w:rPr>
          <w:rFonts w:eastAsia="Calibri"/>
        </w:rPr>
      </w:pPr>
      <w:r w:rsidRPr="00882924">
        <w:t xml:space="preserve">Predmetom </w:t>
      </w:r>
      <w:r w:rsidR="0062226A" w:rsidRPr="00882924">
        <w:t>zákazky</w:t>
      </w:r>
      <w:r w:rsidRPr="00882924">
        <w:t xml:space="preserve"> je </w:t>
      </w:r>
      <w:r w:rsidR="00BC3BBD" w:rsidRPr="00882924">
        <w:rPr>
          <w:noProof/>
        </w:rPr>
        <w:t xml:space="preserve">dodávka </w:t>
      </w:r>
      <w:r w:rsidR="00882924" w:rsidRPr="00882924">
        <w:rPr>
          <w:noProof/>
          <w:highlight w:val="yellow"/>
        </w:rPr>
        <w:t>xxxxxxxxxxxxxxxxx</w:t>
      </w:r>
      <w:r w:rsidR="00882924" w:rsidRPr="00882924">
        <w:rPr>
          <w:noProof/>
        </w:rPr>
        <w:t xml:space="preserve">. </w:t>
      </w:r>
      <w:r w:rsidR="00ED1F88" w:rsidRPr="00882924">
        <w:rPr>
          <w:rFonts w:eastAsia="Calibri"/>
        </w:rPr>
        <w:t>Podrobnosti sú uvedené v prílohe</w:t>
      </w:r>
      <w:r w:rsidR="008E4EE8" w:rsidRPr="00882924">
        <w:rPr>
          <w:rFonts w:eastAsia="Calibri"/>
        </w:rPr>
        <w:t xml:space="preserve"> č. 1</w:t>
      </w:r>
      <w:r w:rsidR="007D084C" w:rsidRPr="00882924">
        <w:rPr>
          <w:rFonts w:eastAsia="Calibri"/>
        </w:rPr>
        <w:t xml:space="preserve"> – </w:t>
      </w:r>
      <w:r w:rsidR="00101C05" w:rsidRPr="00882924">
        <w:rPr>
          <w:rFonts w:eastAsia="Calibri"/>
        </w:rPr>
        <w:t>Opis predmetu zákazky</w:t>
      </w:r>
      <w:r w:rsidR="007D084C" w:rsidRPr="00882924">
        <w:rPr>
          <w:rFonts w:eastAsia="Calibri"/>
        </w:rPr>
        <w:t>,</w:t>
      </w:r>
      <w:r w:rsidR="008E4EE8" w:rsidRPr="00882924">
        <w:rPr>
          <w:rFonts w:eastAsia="Calibri"/>
        </w:rPr>
        <w:t xml:space="preserve"> týchto súťažných podkladov. </w:t>
      </w:r>
    </w:p>
    <w:p w14:paraId="5DC1BEDA" w14:textId="77777777"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proofErr w:type="spellStart"/>
      <w:r w:rsidR="006F69DE" w:rsidRPr="00EF14A5">
        <w:rPr>
          <w:highlight w:val="yellow"/>
        </w:rPr>
        <w:t>xxxxxxxxxxxx</w:t>
      </w:r>
      <w:proofErr w:type="spellEnd"/>
      <w:r w:rsidR="006F69DE" w:rsidRPr="008A7698">
        <w:t xml:space="preserve"> </w:t>
      </w:r>
      <w:r w:rsidR="00EC5D0F" w:rsidRPr="008A7698">
        <w:t>dní od podpisu zmluvy.</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1"/>
      <w:r w:rsidRPr="00495414">
        <w:rPr>
          <w:rFonts w:asciiTheme="majorHAnsi" w:hAnsiTheme="majorHAnsi" w:cstheme="majorHAnsi"/>
          <w:bCs/>
          <w:color w:val="2F5496" w:themeColor="accent1" w:themeShade="BF"/>
          <w:sz w:val="36"/>
          <w:szCs w:val="36"/>
        </w:rPr>
        <w:t>Komplexnosť dodávky</w:t>
      </w:r>
      <w:bookmarkEnd w:id="2"/>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2"/>
      <w:r w:rsidRPr="00495414">
        <w:rPr>
          <w:rFonts w:asciiTheme="majorHAnsi" w:hAnsiTheme="majorHAnsi" w:cstheme="majorHAnsi"/>
          <w:bCs/>
          <w:color w:val="2F5496" w:themeColor="accent1" w:themeShade="BF"/>
          <w:sz w:val="36"/>
          <w:szCs w:val="36"/>
        </w:rPr>
        <w:t>Typ zmluvy</w:t>
      </w:r>
      <w:bookmarkEnd w:id="3"/>
    </w:p>
    <w:p w14:paraId="3502D17E" w14:textId="056207FC" w:rsidR="009C6825" w:rsidRPr="007842D8" w:rsidRDefault="00EC5D0F" w:rsidP="00A7214B">
      <w:pPr>
        <w:pStyle w:val="Bezriadkovania"/>
        <w:spacing w:line="276" w:lineRule="auto"/>
        <w:jc w:val="both"/>
      </w:pPr>
      <w:r w:rsidRPr="007842D8">
        <w:t>Kúpna zmluva</w:t>
      </w:r>
      <w:r w:rsidR="00AF3617">
        <w:t xml:space="preserve"> alebo objednávka, pričom verejný obstarávateľ špecifikuje v konkrétnej výzve na predloženie ponuky, či výsledkom verejného obstarávania bude uzatvorenie jednorazovej zmluvy alebo objednávky</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3"/>
      <w:r w:rsidRPr="00495414">
        <w:rPr>
          <w:rFonts w:asciiTheme="majorHAnsi" w:hAnsiTheme="majorHAnsi" w:cstheme="majorHAnsi"/>
          <w:bCs/>
          <w:color w:val="2F5496" w:themeColor="accent1" w:themeShade="BF"/>
          <w:sz w:val="36"/>
          <w:szCs w:val="36"/>
        </w:rPr>
        <w:t>Zdroj finančných prostriedkov</w:t>
      </w:r>
      <w:bookmarkEnd w:id="4"/>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4"/>
      <w:r w:rsidRPr="00495414">
        <w:rPr>
          <w:rFonts w:asciiTheme="majorHAnsi" w:hAnsiTheme="majorHAnsi" w:cstheme="majorHAnsi"/>
          <w:bCs/>
          <w:color w:val="2F5496" w:themeColor="accent1" w:themeShade="BF"/>
          <w:sz w:val="36"/>
          <w:szCs w:val="36"/>
        </w:rPr>
        <w:lastRenderedPageBreak/>
        <w:t>Podmienky predloženia ponuky</w:t>
      </w:r>
      <w:bookmarkEnd w:id="5"/>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3"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4"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5"/>
      <w:r w:rsidRPr="00495414">
        <w:rPr>
          <w:rFonts w:asciiTheme="majorHAnsi" w:hAnsiTheme="majorHAnsi" w:cstheme="majorHAnsi"/>
          <w:bCs/>
          <w:color w:val="2F5496" w:themeColor="accent1" w:themeShade="BF"/>
          <w:sz w:val="36"/>
          <w:szCs w:val="36"/>
        </w:rPr>
        <w:t>Jazyk ponuky</w:t>
      </w:r>
      <w:bookmarkEnd w:id="6"/>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6"/>
      <w:r w:rsidRPr="00495414">
        <w:rPr>
          <w:rFonts w:asciiTheme="majorHAnsi" w:hAnsiTheme="majorHAnsi" w:cstheme="majorHAnsi"/>
          <w:bCs/>
          <w:color w:val="2F5496" w:themeColor="accent1" w:themeShade="BF"/>
          <w:sz w:val="36"/>
          <w:szCs w:val="36"/>
        </w:rPr>
        <w:t>Predkladanie a obsah ponuky</w:t>
      </w:r>
      <w:bookmarkEnd w:id="7"/>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5"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49D0BC1D"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xml:space="preserve">. Zaradený záujemca sa prihlasuje do pomocou </w:t>
      </w:r>
      <w:proofErr w:type="spellStart"/>
      <w:r w:rsidRPr="007842D8">
        <w:t>eID</w:t>
      </w:r>
      <w:proofErr w:type="spellEnd"/>
      <w:r w:rsidRPr="007842D8">
        <w:t xml:space="preserve">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4F52A8CE" w:rsidR="007B7986" w:rsidRPr="004116FE" w:rsidRDefault="008566EA" w:rsidP="00A7214B">
      <w:pPr>
        <w:pStyle w:val="Bezriadkovania"/>
        <w:spacing w:line="276" w:lineRule="auto"/>
        <w:jc w:val="both"/>
        <w:rPr>
          <w:b/>
          <w:color w:val="FF0000"/>
        </w:rPr>
      </w:pPr>
      <w:r w:rsidRPr="00EE6078">
        <w:t xml:space="preserve">Autentifikovaný zaradený záujemca si po prihlásení do </w:t>
      </w:r>
      <w:r w:rsidR="00BC3BBD" w:rsidRPr="00EE6078">
        <w:t>elektronického prostriedku</w:t>
      </w:r>
      <w:r w:rsidRPr="00EE6078">
        <w:t xml:space="preserve"> JOSPEHINE v záložke „Moje obstarávania“ vyberie predmetnú zákazku a vloží svoju ponuku do určeného formulára na príjem ponúk, ktorý nájde v záložke ponuky.</w:t>
      </w:r>
      <w:r w:rsidR="004116FE">
        <w:t xml:space="preserve"> </w:t>
      </w:r>
    </w:p>
    <w:p w14:paraId="02DB8B3D" w14:textId="77777777" w:rsidR="008566EA" w:rsidRPr="007842D8" w:rsidRDefault="008566EA" w:rsidP="00A7214B">
      <w:pPr>
        <w:pStyle w:val="Bezriadkovania"/>
        <w:spacing w:line="276" w:lineRule="auto"/>
        <w:jc w:val="both"/>
      </w:pPr>
    </w:p>
    <w:p w14:paraId="3B796818" w14:textId="75646E6E"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BC3BBD">
        <w:t>elektronického prostriedku</w:t>
      </w:r>
      <w:r w:rsidR="009C6825" w:rsidRPr="007842D8">
        <w:t xml:space="preserve"> JOSEPHINE</w:t>
      </w:r>
      <w:r w:rsidR="00E06D57" w:rsidRPr="007842D8">
        <w:t>.</w:t>
      </w:r>
      <w:r w:rsidR="008F6093" w:rsidRPr="007842D8">
        <w:t xml:space="preserve"> </w:t>
      </w:r>
      <w:r w:rsidR="009C6825" w:rsidRPr="007842D8">
        <w:t xml:space="preserve">V predloženej ponuke prostredníctvom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34F4A02F" w14:textId="28ED5578" w:rsidR="0014283F" w:rsidRPr="00EE607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EE6078">
        <w:rPr>
          <w:rFonts w:eastAsia="TimesNewRomanPSMT"/>
          <w:color w:val="000000"/>
        </w:rPr>
        <w:t>opis ponúkaného tovaru</w:t>
      </w:r>
      <w:r w:rsidR="00BC3BBD" w:rsidRPr="00EE6078">
        <w:rPr>
          <w:rFonts w:eastAsia="TimesNewRomanPSMT"/>
          <w:color w:val="000000"/>
        </w:rPr>
        <w:t xml:space="preserve"> a služieb</w:t>
      </w:r>
      <w:r w:rsidRPr="00EE6078">
        <w:rPr>
          <w:rFonts w:eastAsia="TimesNewRomanPSMT"/>
          <w:color w:val="000000"/>
        </w:rPr>
        <w:t xml:space="preserve"> preukazujúci splnenie požiadaviek verejného obstarávateľa na predmet zákazky,</w:t>
      </w:r>
    </w:p>
    <w:p w14:paraId="5797C758" w14:textId="4312D0F8" w:rsidR="004116FE" w:rsidRPr="00047EA4" w:rsidRDefault="0014283F" w:rsidP="002F55B9">
      <w:pPr>
        <w:pStyle w:val="Bezriadkovania"/>
        <w:numPr>
          <w:ilvl w:val="0"/>
          <w:numId w:val="2"/>
        </w:numPr>
        <w:spacing w:line="276" w:lineRule="auto"/>
        <w:jc w:val="both"/>
        <w:rPr>
          <w:b/>
          <w:color w:val="FF0000"/>
        </w:rPr>
      </w:pPr>
      <w:r w:rsidRPr="00EE6078">
        <w:rPr>
          <w:rFonts w:eastAsia="TimesNewRomanPSMT"/>
          <w:color w:val="000000"/>
        </w:rPr>
        <w:t xml:space="preserve">návrh zaradeného záujemcu na plnenie kritéria predmetu </w:t>
      </w:r>
      <w:r w:rsidRPr="00EE6078">
        <w:rPr>
          <w:rFonts w:eastAsia="TimesNewRomanPSMT"/>
        </w:rPr>
        <w:t xml:space="preserve">zákazky </w:t>
      </w:r>
      <w:r w:rsidRPr="00EE6078">
        <w:rPr>
          <w:color w:val="000000"/>
          <w:shd w:val="clear" w:color="auto" w:fill="FFFFFF"/>
        </w:rPr>
        <w:t xml:space="preserve">vložený do </w:t>
      </w:r>
      <w:r w:rsidR="00BC3BBD" w:rsidRPr="00EE6078">
        <w:rPr>
          <w:color w:val="000000"/>
          <w:shd w:val="clear" w:color="auto" w:fill="FFFFFF"/>
        </w:rPr>
        <w:t>elektronického prostriedku</w:t>
      </w:r>
      <w:r w:rsidRPr="00EE6078">
        <w:rPr>
          <w:color w:val="000000"/>
          <w:shd w:val="clear" w:color="auto" w:fill="FFFFFF"/>
        </w:rPr>
        <w:t xml:space="preserve"> JOSEPHINE (príloha č. 2).</w:t>
      </w:r>
      <w:r w:rsidR="004116FE" w:rsidRPr="00EE6078">
        <w:rPr>
          <w:color w:val="000000"/>
          <w:shd w:val="clear" w:color="auto" w:fill="FFFFFF"/>
        </w:rPr>
        <w:t xml:space="preserve"> </w:t>
      </w:r>
    </w:p>
    <w:p w14:paraId="723E6EB9" w14:textId="77777777" w:rsidR="005475F8" w:rsidRPr="008819B2" w:rsidRDefault="005475F8" w:rsidP="005475F8">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A92DA0">
        <w:rPr>
          <w:rFonts w:ascii="Arial Narrow" w:eastAsia="TimesNewRomanPSMT" w:hAnsi="Arial Narrow"/>
          <w:color w:val="000000"/>
        </w:rPr>
        <w:t>Čestné vyhlásenie uchádzača podľa prílohy č. 5</w:t>
      </w:r>
    </w:p>
    <w:p w14:paraId="43E783F9" w14:textId="77777777" w:rsidR="005475F8" w:rsidRPr="00EE6078" w:rsidRDefault="005475F8" w:rsidP="002F55B9">
      <w:pPr>
        <w:pStyle w:val="Bezriadkovania"/>
        <w:numPr>
          <w:ilvl w:val="0"/>
          <w:numId w:val="2"/>
        </w:numPr>
        <w:spacing w:line="276" w:lineRule="auto"/>
        <w:jc w:val="both"/>
        <w:rPr>
          <w:b/>
          <w:color w:val="FF0000"/>
        </w:rPr>
      </w:pPr>
    </w:p>
    <w:p w14:paraId="3D073523" w14:textId="129D2602" w:rsidR="009C6825" w:rsidRPr="00C21AEA" w:rsidRDefault="009C6825" w:rsidP="00C21AEA">
      <w:pPr>
        <w:autoSpaceDE w:val="0"/>
        <w:autoSpaceDN w:val="0"/>
        <w:adjustRightInd w:val="0"/>
        <w:spacing w:line="276" w:lineRule="auto"/>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7"/>
      <w:r w:rsidRPr="00495414">
        <w:rPr>
          <w:rFonts w:asciiTheme="majorHAnsi" w:hAnsiTheme="majorHAnsi" w:cstheme="majorHAnsi"/>
          <w:bCs/>
          <w:color w:val="2F5496" w:themeColor="accent1" w:themeShade="BF"/>
          <w:sz w:val="36"/>
          <w:szCs w:val="36"/>
        </w:rPr>
        <w:t>Lehota na predkladanie ponúk</w:t>
      </w:r>
      <w:bookmarkEnd w:id="8"/>
    </w:p>
    <w:p w14:paraId="358459F5" w14:textId="77777777" w:rsidR="00AC118D" w:rsidRDefault="00AC118D" w:rsidP="00C03616">
      <w:pPr>
        <w:pStyle w:val="Bezriadkovania"/>
        <w:spacing w:line="276" w:lineRule="auto"/>
        <w:jc w:val="both"/>
      </w:pPr>
      <w:r>
        <w:t>Ponuky musia byť doručené do konca lehoty na predkladanie ponúk, ktorý je uvedený v elektronickom prostriedku JOSEPHINE v časti zodpovedajúcej tejto zákazke.</w:t>
      </w:r>
    </w:p>
    <w:p w14:paraId="399DBAC9" w14:textId="003DEA21" w:rsidR="009C6825" w:rsidRPr="007842D8" w:rsidRDefault="00AC118D" w:rsidP="00A7214B">
      <w:pPr>
        <w:pStyle w:val="Bezriadkovania"/>
        <w:spacing w:line="276" w:lineRule="auto"/>
        <w:jc w:val="both"/>
      </w:pPr>
      <w:r>
        <w:t>Ponuka zaradeného záujemcu predložená po uplynutí lehoty na predkladanie ponúk sa elektronicky neotvorí</w:t>
      </w: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9" w:name="_Toc488059678"/>
      <w:r w:rsidRPr="00495414">
        <w:rPr>
          <w:rFonts w:asciiTheme="majorHAnsi" w:hAnsiTheme="majorHAnsi" w:cstheme="majorHAnsi"/>
          <w:bCs/>
          <w:color w:val="2F5496" w:themeColor="accent1" w:themeShade="BF"/>
          <w:sz w:val="36"/>
          <w:szCs w:val="36"/>
        </w:rPr>
        <w:t>Platnosť (viazanosť) ponuky</w:t>
      </w:r>
      <w:bookmarkEnd w:id="9"/>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proofErr w:type="spellStart"/>
      <w:r w:rsidR="006668D8" w:rsidRPr="00EF14A5">
        <w:rPr>
          <w:highlight w:val="yellow"/>
        </w:rPr>
        <w:t>xxxxxxxxxxxxxx</w:t>
      </w:r>
      <w:proofErr w:type="spellEnd"/>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0" w:name="_Toc488059679"/>
      <w:r w:rsidRPr="00495414">
        <w:rPr>
          <w:rFonts w:asciiTheme="majorHAnsi" w:hAnsiTheme="majorHAnsi" w:cstheme="majorHAnsi"/>
          <w:bCs/>
          <w:color w:val="2F5496" w:themeColor="accent1" w:themeShade="BF"/>
          <w:sz w:val="36"/>
          <w:szCs w:val="36"/>
        </w:rPr>
        <w:t>Zábezpeka ponuky</w:t>
      </w:r>
      <w:bookmarkEnd w:id="10"/>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4326BB49" w:rsidR="00EF153E" w:rsidRDefault="00EF153E" w:rsidP="00726D27">
      <w:pPr>
        <w:spacing w:line="276" w:lineRule="auto"/>
        <w:jc w:val="both"/>
        <w:rPr>
          <w:i/>
        </w:rPr>
      </w:pPr>
    </w:p>
    <w:p w14:paraId="3FEBB4DD" w14:textId="6DE60610" w:rsidR="00C21AEA" w:rsidRDefault="00C21AEA" w:rsidP="00726D27">
      <w:pPr>
        <w:spacing w:line="276" w:lineRule="auto"/>
        <w:jc w:val="both"/>
        <w:rPr>
          <w:i/>
        </w:rPr>
      </w:pPr>
    </w:p>
    <w:p w14:paraId="2C838E52" w14:textId="5C7B88BA" w:rsidR="00C21AEA" w:rsidRDefault="00C21AEA" w:rsidP="00726D27">
      <w:pPr>
        <w:spacing w:line="276" w:lineRule="auto"/>
        <w:jc w:val="both"/>
        <w:rPr>
          <w:i/>
        </w:rPr>
      </w:pPr>
    </w:p>
    <w:p w14:paraId="0A3930EC" w14:textId="353E044D" w:rsidR="00C21AEA" w:rsidRDefault="00C21AEA" w:rsidP="00726D27">
      <w:pPr>
        <w:spacing w:line="276" w:lineRule="auto"/>
        <w:jc w:val="both"/>
        <w:rPr>
          <w:i/>
        </w:rPr>
      </w:pPr>
    </w:p>
    <w:p w14:paraId="2737BF76" w14:textId="77777777" w:rsidR="00C21AEA" w:rsidRDefault="00C21AEA"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t xml:space="preserve">Doklad o zložení zábezpeky </w:t>
      </w:r>
      <w:bookmarkStart w:id="11" w:name="_Hlk534971472"/>
      <w:r w:rsidRPr="00EF153E">
        <w:t>(ak je zábezpeka zložená vo forme bankovej záruky/vo forme poistenia záruky)</w:t>
      </w:r>
      <w:bookmarkEnd w:id="11"/>
      <w:r w:rsidRPr="00EF153E">
        <w:t xml:space="preserve"> musí byť súčasťou ponuky uchádzača. Ak doklad o zložení zábezpeky nebude súčasťou ponuky a/alebo ak finančné prostriedky nebudú zložené na účet verejného obstarávateľa podľa bodu </w:t>
      </w:r>
      <w:r w:rsidRPr="005B0D04">
        <w:rPr>
          <w:highlight w:val="yellow"/>
        </w:rPr>
        <w:t>10.4 a)</w:t>
      </w:r>
      <w:r w:rsidRPr="00EF153E">
        <w:t xml:space="preserve"> týchto súťažných podkladov alebo ak banková záruka nebude obsahovať náležitosti podľa bodu </w:t>
      </w:r>
      <w:r w:rsidRPr="005B0D04">
        <w:rPr>
          <w:highlight w:val="yellow"/>
        </w:rPr>
        <w:t>10.4 b),</w:t>
      </w:r>
      <w:r w:rsidRPr="00EF153E">
        <w:t xml:space="preserve"> </w:t>
      </w:r>
      <w:bookmarkStart w:id="12" w:name="_Hlk534971528"/>
      <w:r w:rsidRPr="00EF153E">
        <w:t xml:space="preserve">resp. ak listina preukazujúca poistenie záruky nebude obsahovať náležitosti podľa bodu </w:t>
      </w:r>
      <w:r w:rsidRPr="005B0D04">
        <w:rPr>
          <w:highlight w:val="yellow"/>
        </w:rPr>
        <w:t>10.4 c)</w:t>
      </w:r>
      <w:r w:rsidRPr="00EF153E">
        <w:t xml:space="preserve"> týchto súťažných podkladov</w:t>
      </w:r>
      <w:bookmarkEnd w:id="12"/>
      <w:r w:rsidRPr="00EF153E">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t xml:space="preserve">poskytnutie bankovej záruky za uchádzača </w:t>
      </w:r>
      <w:bookmarkStart w:id="13"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3"/>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2AF33D4E"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w:t>
      </w:r>
      <w:r w:rsidR="00EE6078">
        <w:rPr>
          <w:rFonts w:ascii="Times New Roman" w:hAnsi="Times New Roman"/>
          <w:sz w:val="24"/>
          <w:szCs w:val="24"/>
        </w:rPr>
        <w:t>.</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245"/>
        <w:gridCol w:w="4248"/>
      </w:tblGrid>
      <w:tr w:rsidR="00EC02B2" w14:paraId="605FC8B0" w14:textId="77777777" w:rsidTr="00882924">
        <w:tc>
          <w:tcPr>
            <w:tcW w:w="4245"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248" w:type="dxa"/>
          </w:tcPr>
          <w:p w14:paraId="13668DEF" w14:textId="2C7F9031" w:rsidR="00EC02B2" w:rsidRDefault="00882924"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EF14A5">
              <w:rPr>
                <w:highlight w:val="yellow"/>
              </w:rPr>
              <w:t>xxxxxxxxxxxx</w:t>
            </w:r>
            <w:proofErr w:type="spellEnd"/>
          </w:p>
        </w:tc>
      </w:tr>
      <w:tr w:rsidR="00EC02B2" w14:paraId="1BB6B4ED" w14:textId="77777777" w:rsidTr="00882924">
        <w:tc>
          <w:tcPr>
            <w:tcW w:w="4245"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248"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882924">
        <w:tc>
          <w:tcPr>
            <w:tcW w:w="4245"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248"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882924">
        <w:tc>
          <w:tcPr>
            <w:tcW w:w="4245"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248"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882924">
        <w:tc>
          <w:tcPr>
            <w:tcW w:w="4245"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248"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882924" w14:paraId="38BA231E" w14:textId="77777777" w:rsidTr="00882924">
        <w:tc>
          <w:tcPr>
            <w:tcW w:w="4245" w:type="dxa"/>
          </w:tcPr>
          <w:p w14:paraId="526DE91E" w14:textId="2C56AE77"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IBAN:</w:t>
            </w:r>
          </w:p>
        </w:tc>
        <w:tc>
          <w:tcPr>
            <w:tcW w:w="4248" w:type="dxa"/>
          </w:tcPr>
          <w:p w14:paraId="5D9503A8" w14:textId="46ACF6FC"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52D0F726" w14:textId="77777777" w:rsidTr="00882924">
        <w:tc>
          <w:tcPr>
            <w:tcW w:w="4245" w:type="dxa"/>
          </w:tcPr>
          <w:p w14:paraId="57E1FCA1" w14:textId="62C50909"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248" w:type="dxa"/>
          </w:tcPr>
          <w:p w14:paraId="13A59850" w14:textId="748BFAEF"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r w:rsidR="00882924" w14:paraId="4ECCADD6" w14:textId="77777777" w:rsidTr="00882924">
        <w:tc>
          <w:tcPr>
            <w:tcW w:w="4245" w:type="dxa"/>
          </w:tcPr>
          <w:p w14:paraId="35A64E96" w14:textId="76713F2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248" w:type="dxa"/>
          </w:tcPr>
          <w:p w14:paraId="4821ABE8" w14:textId="3926976A" w:rsidR="00882924" w:rsidRDefault="00882924" w:rsidP="00882924">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proofErr w:type="spellStart"/>
            <w:r w:rsidRPr="00765A1C">
              <w:rPr>
                <w:highlight w:val="yellow"/>
              </w:rPr>
              <w:t>xxxxxxxxxxxx</w:t>
            </w:r>
            <w:proofErr w:type="spellEnd"/>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51DBDC84"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w:t>
      </w:r>
      <w:proofErr w:type="spellStart"/>
      <w:r w:rsidR="00882924" w:rsidRPr="00EF14A5">
        <w:rPr>
          <w:highlight w:val="yellow"/>
        </w:rPr>
        <w:t>xxxxxxxxxxxx</w:t>
      </w:r>
      <w:proofErr w:type="spellEnd"/>
      <w:r w:rsidR="00882924" w:rsidRPr="00EF153E">
        <w:rPr>
          <w:rFonts w:ascii="Times New Roman" w:hAnsi="Times New Roman"/>
          <w:sz w:val="24"/>
          <w:szCs w:val="24"/>
        </w:rPr>
        <w:t xml:space="preserve"> </w:t>
      </w:r>
      <w:r w:rsidRPr="00EF153E">
        <w:rPr>
          <w:rFonts w:ascii="Times New Roman" w:hAnsi="Times New Roman"/>
          <w:sz w:val="24"/>
          <w:szCs w:val="24"/>
        </w:rPr>
        <w:t>nie je úročený.</w:t>
      </w:r>
    </w:p>
    <w:p w14:paraId="27D134AC" w14:textId="77777777" w:rsidR="00EF153E" w:rsidRPr="00EF153E" w:rsidRDefault="00EF153E" w:rsidP="00EF153E">
      <w:pPr>
        <w:spacing w:before="120" w:after="120"/>
        <w:ind w:left="851"/>
        <w:jc w:val="both"/>
      </w:pPr>
      <w:r w:rsidRPr="00EF153E">
        <w:lastRenderedPageBreak/>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4" w:name="_Hlk534971689"/>
      <w:r w:rsidRPr="00EF153E">
        <w:t xml:space="preserve">v znení neskorších predpisov </w:t>
      </w:r>
      <w:bookmarkEnd w:id="14"/>
      <w:r w:rsidRPr="00EF153E">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5" w:name="_Hlk534971769"/>
      <w:r w:rsidRPr="00EF153E">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 xml:space="preserve">Ak uchádzač využije možnosť zloženia zábezpeky vo forme bankovej záruky, v elektronickej ponuke predloží elektronické vyhotovenie bankovej záruky vydané bankou alebo </w:t>
      </w:r>
      <w:proofErr w:type="spellStart"/>
      <w:r w:rsidRPr="00EF153E">
        <w:t>scan</w:t>
      </w:r>
      <w:proofErr w:type="spellEnd"/>
      <w:r w:rsidRPr="00EF153E">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 xml:space="preserve">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w:t>
      </w:r>
      <w:r w:rsidRPr="00EF153E">
        <w:rPr>
          <w:rFonts w:ascii="Times New Roman" w:hAnsi="Times New Roman"/>
          <w:smallCaps w:val="0"/>
          <w:sz w:val="24"/>
          <w:szCs w:val="24"/>
        </w:rPr>
        <w:lastRenderedPageBreak/>
        <w:t>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5"/>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Default="00EF153E" w:rsidP="00EF153E">
      <w:pPr>
        <w:numPr>
          <w:ilvl w:val="2"/>
          <w:numId w:val="1"/>
        </w:numPr>
        <w:spacing w:before="120" w:after="120" w:line="276" w:lineRule="auto"/>
        <w:jc w:val="both"/>
      </w:pPr>
      <w:r w:rsidRPr="00EF153E">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7" w:name="_Hlk534973076"/>
      <w:r w:rsidRPr="00EF153E">
        <w:t xml:space="preserve">uplynutia lehoty viazanosti ponúk </w:t>
      </w:r>
    </w:p>
    <w:bookmarkEnd w:id="17"/>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8" w:name="_Hlk534973228"/>
      <w:r w:rsidRPr="00EF153E">
        <w:t xml:space="preserve">v lehote viazanosti ponúk: </w:t>
      </w:r>
      <w:bookmarkEnd w:id="18"/>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0"/>
      <w:r w:rsidRPr="00495414">
        <w:rPr>
          <w:rFonts w:asciiTheme="majorHAnsi" w:hAnsiTheme="majorHAnsi" w:cstheme="majorHAnsi"/>
          <w:bCs/>
          <w:color w:val="2F5496" w:themeColor="accent1" w:themeShade="BF"/>
          <w:sz w:val="36"/>
          <w:szCs w:val="36"/>
        </w:rPr>
        <w:t>Doplnenie, zmena a odvolanie ponuky</w:t>
      </w:r>
      <w:bookmarkEnd w:id="19"/>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0" w:name="_Toc488059681"/>
      <w:r w:rsidRPr="00495414">
        <w:rPr>
          <w:rFonts w:asciiTheme="majorHAnsi" w:hAnsiTheme="majorHAnsi" w:cstheme="majorHAnsi"/>
          <w:bCs/>
          <w:color w:val="2F5496" w:themeColor="accent1" w:themeShade="BF"/>
          <w:sz w:val="36"/>
          <w:szCs w:val="36"/>
        </w:rPr>
        <w:t>Náklady na ponuku</w:t>
      </w:r>
      <w:bookmarkEnd w:id="20"/>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1" w:name="_Toc488059682"/>
      <w:r w:rsidRPr="00495414">
        <w:rPr>
          <w:rFonts w:asciiTheme="majorHAnsi" w:hAnsiTheme="majorHAnsi" w:cstheme="majorHAnsi"/>
          <w:bCs/>
          <w:color w:val="2F5496" w:themeColor="accent1" w:themeShade="BF"/>
          <w:sz w:val="36"/>
          <w:szCs w:val="36"/>
        </w:rPr>
        <w:t>Variantné riešenie</w:t>
      </w:r>
      <w:bookmarkEnd w:id="21"/>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3"/>
      <w:r w:rsidRPr="00495414">
        <w:rPr>
          <w:rFonts w:asciiTheme="majorHAnsi" w:hAnsiTheme="majorHAnsi" w:cstheme="majorHAnsi"/>
          <w:bCs/>
          <w:color w:val="2F5496" w:themeColor="accent1" w:themeShade="BF"/>
          <w:sz w:val="36"/>
          <w:szCs w:val="36"/>
        </w:rPr>
        <w:t>Predkladanie žiadostí o súťažné podklady</w:t>
      </w:r>
      <w:bookmarkEnd w:id="22"/>
    </w:p>
    <w:p w14:paraId="6C3FAA0D" w14:textId="77777777"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w:t>
      </w:r>
      <w:proofErr w:type="spellStart"/>
      <w:r w:rsidR="009C6825" w:rsidRPr="007842D8">
        <w:rPr>
          <w:rFonts w:eastAsia="TimesNewRomanPSMT"/>
          <w:color w:val="000000"/>
        </w:rPr>
        <w:t>link</w:t>
      </w:r>
      <w:proofErr w:type="spellEnd"/>
      <w:r w:rsidR="009C6825" w:rsidRPr="007842D8">
        <w:rPr>
          <w:rFonts w:eastAsia="TimesNewRomanPSMT"/>
          <w:color w:val="000000"/>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3"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23"/>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5"/>
      <w:r w:rsidRPr="00517590">
        <w:rPr>
          <w:rFonts w:asciiTheme="majorHAnsi" w:hAnsiTheme="majorHAnsi" w:cstheme="majorHAnsi"/>
          <w:bCs/>
          <w:color w:val="2F5496" w:themeColor="accent1" w:themeShade="BF"/>
          <w:sz w:val="36"/>
          <w:szCs w:val="36"/>
        </w:rPr>
        <w:t>Komunikácia a vysvetlenie</w:t>
      </w:r>
      <w:bookmarkEnd w:id="24"/>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w:t>
      </w:r>
      <w:proofErr w:type="spellStart"/>
      <w:r w:rsidRPr="007842D8">
        <w:rPr>
          <w:rFonts w:eastAsia="TimesNewRomanPSMT"/>
          <w:color w:val="000000"/>
        </w:rPr>
        <w:t>t.j</w:t>
      </w:r>
      <w:proofErr w:type="spellEnd"/>
      <w:r w:rsidRPr="007842D8">
        <w:rPr>
          <w:rFonts w:eastAsia="TimesNewRomanPSMT"/>
          <w:color w:val="000000"/>
        </w:rPr>
        <w:t xml:space="preserve">.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lastRenderedPageBreak/>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5" w:name="_Toc488059686"/>
      <w:r w:rsidRPr="00517590">
        <w:rPr>
          <w:rFonts w:asciiTheme="majorHAnsi" w:hAnsiTheme="majorHAnsi" w:cstheme="majorHAnsi"/>
          <w:bCs/>
          <w:color w:val="2F5496" w:themeColor="accent1" w:themeShade="BF"/>
          <w:sz w:val="36"/>
          <w:szCs w:val="36"/>
        </w:rPr>
        <w:t>Vysvetlenie súťažných podkladov</w:t>
      </w:r>
      <w:bookmarkEnd w:id="25"/>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6"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7"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proofErr w:type="spellStart"/>
      <w:r w:rsidRPr="00BC3BBD">
        <w:t>Mozilla</w:t>
      </w:r>
      <w:proofErr w:type="spellEnd"/>
      <w:r w:rsidRPr="00BC3BBD">
        <w:t xml:space="preserve">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 xml:space="preserve">Microsoft </w:t>
      </w:r>
      <w:proofErr w:type="spellStart"/>
      <w:r w:rsidRPr="006F236F">
        <w:t>Edge</w:t>
      </w:r>
      <w:proofErr w:type="spellEnd"/>
      <w:r w:rsidRPr="006F236F">
        <w:t>.</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w:t>
      </w:r>
      <w:r w:rsidRPr="007842D8">
        <w:lastRenderedPageBreak/>
        <w:t xml:space="preserve">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6"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6"/>
      <w:r w:rsidR="00147659" w:rsidRPr="00517590">
        <w:rPr>
          <w:rFonts w:asciiTheme="majorHAnsi" w:hAnsiTheme="majorHAnsi" w:cstheme="majorHAnsi"/>
          <w:bCs/>
          <w:color w:val="2F5496" w:themeColor="accent1" w:themeShade="BF"/>
          <w:sz w:val="36"/>
          <w:szCs w:val="36"/>
          <w:lang w:val="sk-SK"/>
        </w:rPr>
        <w:t xml:space="preserve"> (ku konkrétnej výzve)</w:t>
      </w:r>
    </w:p>
    <w:p w14:paraId="66995307" w14:textId="77777777" w:rsidR="003A6986" w:rsidRPr="00B2404F" w:rsidRDefault="003A6986" w:rsidP="00C03616">
      <w:pPr>
        <w:autoSpaceDE w:val="0"/>
        <w:autoSpaceDN w:val="0"/>
        <w:adjustRightInd w:val="0"/>
        <w:jc w:val="both"/>
      </w:pPr>
      <w:r w:rsidRPr="00B2404F">
        <w:t xml:space="preserve">Otváranie ponúk sa uskutoční elektronicky v mieste sídla verejného obstarávateľa.  Čas otvárania ponúk je uvedený v elektronickom prostriedku JOSEPHINE v časti zodpovedajúcej tejto zákazke. </w:t>
      </w:r>
    </w:p>
    <w:p w14:paraId="0655595C" w14:textId="52A64459" w:rsidR="009C6825" w:rsidRPr="007842D8" w:rsidRDefault="003A6986" w:rsidP="00A7214B">
      <w:pPr>
        <w:autoSpaceDE w:val="0"/>
        <w:autoSpaceDN w:val="0"/>
        <w:adjustRightInd w:val="0"/>
        <w:spacing w:line="276" w:lineRule="auto"/>
        <w:jc w:val="both"/>
        <w:rPr>
          <w:rFonts w:eastAsia="TimesNewRomanPSMT"/>
          <w:color w:val="000000"/>
        </w:rPr>
      </w:pPr>
      <w:r>
        <w:t>V</w:t>
      </w:r>
      <w:r w:rsidRPr="00B2404F">
        <w:t xml:space="preserve"> zmysle § 61 ods. 4 ZVO je otváranie ponúk neverejné, údaje z otvárania ponúk verejný obstarávateľ a obstarávateľ nezverejňuje a neposiela uchádzačom ani zápisnicu z otvárania ponúk</w:t>
      </w: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7" w:name="_Toc488059688"/>
      <w:r w:rsidRPr="00517590">
        <w:rPr>
          <w:rFonts w:asciiTheme="majorHAnsi" w:hAnsiTheme="majorHAnsi" w:cstheme="majorHAnsi"/>
          <w:bCs/>
          <w:color w:val="2F5496" w:themeColor="accent1" w:themeShade="BF"/>
          <w:sz w:val="36"/>
          <w:szCs w:val="36"/>
        </w:rPr>
        <w:t>Vyhodnotenie ponúk</w:t>
      </w:r>
      <w:bookmarkEnd w:id="27"/>
    </w:p>
    <w:p w14:paraId="7EAC96F7"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Verejný obstarávateľ pristúpi k vyhodnoteniu predložených ponúk z pohľadu splnenia požiadaviek na predmet zákazky podľa § 53 ZVO</w:t>
      </w:r>
      <w:r w:rsidRPr="007842D8">
        <w:rPr>
          <w:color w:val="000000"/>
        </w:rPr>
        <w:t xml:space="preserve">. </w:t>
      </w:r>
    </w:p>
    <w:p w14:paraId="3E288D3F"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34BF8C1E"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Komunikácia medzi uchádzačom/uchádzačmi a verejným obstarávateľom/komisiou na vyhodnotenie ponúk počas vyhodnotenia ponúk bude prebiehať elektronicky, prostredníctvom komunikačného rozhrania </w:t>
      </w:r>
      <w:r>
        <w:rPr>
          <w:rFonts w:eastAsia="TimesNewRomanPSMT"/>
          <w:color w:val="000000"/>
        </w:rPr>
        <w:t>elektronického prostriedku</w:t>
      </w:r>
      <w:r w:rsidRPr="007842D8">
        <w:rPr>
          <w:rFonts w:eastAsia="TimesNewRomanPSMT"/>
          <w:color w:val="000000"/>
        </w:rPr>
        <w:t xml:space="preserve"> JOSEPHINE. Uchádzač musí písomné vysvetlenie/ doplnenie ponuky na základe požiadavky doručiť verejnému obstarávateľovi prostredníctvom určenej komunikácie v </w:t>
      </w:r>
      <w:r>
        <w:rPr>
          <w:rFonts w:eastAsia="TimesNewRomanPSMT"/>
          <w:color w:val="000000"/>
        </w:rPr>
        <w:t>elektronickom prostriedku</w:t>
      </w:r>
      <w:r w:rsidRPr="007842D8">
        <w:rPr>
          <w:rFonts w:eastAsia="TimesNewRomanPSMT"/>
          <w:color w:val="000000"/>
        </w:rPr>
        <w:t xml:space="preserve"> JOSEPHINE. </w:t>
      </w:r>
    </w:p>
    <w:p w14:paraId="336F39C2"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p>
    <w:p w14:paraId="4D079FAB" w14:textId="77777777" w:rsidR="003049D7" w:rsidRPr="007842D8" w:rsidRDefault="003049D7" w:rsidP="003049D7">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Pr>
          <w:rFonts w:eastAsia="TimesNewRomanPSMT"/>
          <w:color w:val="000000"/>
        </w:rPr>
        <w:t> </w:t>
      </w:r>
      <w:r w:rsidRPr="007842D8">
        <w:rPr>
          <w:rFonts w:eastAsia="TimesNewRomanPSMT"/>
          <w:color w:val="000000"/>
        </w:rPr>
        <w:t>uvedením dôvodu a lehoty, v ktorej môže byť doručená námietka.</w:t>
      </w:r>
    </w:p>
    <w:p w14:paraId="388534F2" w14:textId="77777777" w:rsidR="003049D7" w:rsidRDefault="003049D7" w:rsidP="003049D7">
      <w:pPr>
        <w:pStyle w:val="Odsekzoznamu"/>
        <w:autoSpaceDE w:val="0"/>
        <w:autoSpaceDN w:val="0"/>
        <w:adjustRightInd w:val="0"/>
        <w:spacing w:line="276" w:lineRule="auto"/>
        <w:ind w:left="0"/>
        <w:jc w:val="both"/>
        <w:rPr>
          <w:rFonts w:eastAsia="TimesNewRomanPSMT"/>
          <w:color w:val="000000"/>
          <w:u w:val="single"/>
        </w:rPr>
      </w:pPr>
    </w:p>
    <w:p w14:paraId="694CE8E0" w14:textId="77777777" w:rsidR="003049D7" w:rsidRDefault="003049D7" w:rsidP="003049D7">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Túto informáciu verejný obstarávateľ vždy zverejní vo </w:t>
      </w:r>
      <w:r w:rsidRPr="00D95FC2">
        <w:rPr>
          <w:rFonts w:eastAsia="TimesNewRomanPSMT"/>
          <w:b/>
          <w:color w:val="FF0000"/>
        </w:rPr>
        <w:t xml:space="preserve">výzve na </w:t>
      </w:r>
      <w:r>
        <w:rPr>
          <w:rFonts w:eastAsia="TimesNewRomanPSMT"/>
          <w:b/>
          <w:color w:val="FF0000"/>
        </w:rPr>
        <w:t>predkladanie ponúk v rámci zriadeného DNS.</w:t>
      </w:r>
    </w:p>
    <w:p w14:paraId="6E4416B5" w14:textId="77777777" w:rsidR="003049D7" w:rsidRPr="001068A3" w:rsidRDefault="003049D7" w:rsidP="003049D7">
      <w:pPr>
        <w:pStyle w:val="Odsekzoznamu"/>
        <w:autoSpaceDE w:val="0"/>
        <w:autoSpaceDN w:val="0"/>
        <w:adjustRightInd w:val="0"/>
        <w:spacing w:line="276" w:lineRule="auto"/>
        <w:ind w:left="0"/>
        <w:jc w:val="both"/>
        <w:rPr>
          <w:rFonts w:eastAsia="TimesNewRomanPSMT"/>
          <w:b/>
        </w:rPr>
      </w:pPr>
    </w:p>
    <w:p w14:paraId="4528090D" w14:textId="77777777" w:rsidR="003049D7" w:rsidRPr="00082B72" w:rsidRDefault="003049D7" w:rsidP="003049D7">
      <w:pPr>
        <w:pStyle w:val="Odsekzoznamu"/>
        <w:numPr>
          <w:ilvl w:val="0"/>
          <w:numId w:val="23"/>
        </w:numPr>
        <w:jc w:val="both"/>
        <w:rPr>
          <w:lang w:eastAsia="en-US"/>
        </w:rPr>
      </w:pPr>
      <w:r w:rsidRPr="00082B72">
        <w:rPr>
          <w:b/>
          <w:lang w:eastAsia="en-US"/>
        </w:rPr>
        <w:t>Súčasťou procesu vyhodnocovania ponúk môže byť elektronická aukcia</w:t>
      </w:r>
      <w:r w:rsidRPr="00082B72">
        <w:rPr>
          <w:lang w:eastAsia="en-US"/>
        </w:rPr>
        <w:t xml:space="preserve"> podľa § 54 ZVO. Informácia o tom, či sa v konkrétnej zákazke použije elektronická aukcia, bude uvedená vo výzve na predkladanie ponúk spolu s podrobnosťami o priebehu elektronickej aukcie.</w:t>
      </w:r>
    </w:p>
    <w:p w14:paraId="2BF015C2"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47F8BB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1C20D0D1"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31F79EC5"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Nové ceny predložené v elektronickej aukcii po jej skončení budú považované za konečné. </w:t>
      </w:r>
    </w:p>
    <w:p w14:paraId="0392B1EE"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2DC09A14"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50E3C7F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4D7AE1E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Poradie ponúk za príslušný predmet zákazky po elektronickej aukcii bude zostavené nasledovne: </w:t>
      </w:r>
    </w:p>
    <w:p w14:paraId="7E3994A9"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xml:space="preserve">- na prvom mieste sa umiestni uchádzač, ktorý v elektronickej aukcii ponúkol najnižšiu cenu, jeho ponuka bude úspešná, </w:t>
      </w:r>
    </w:p>
    <w:p w14:paraId="0209229E" w14:textId="77777777" w:rsidR="003049D7" w:rsidRPr="00082B72" w:rsidRDefault="003049D7" w:rsidP="003049D7">
      <w:pPr>
        <w:autoSpaceDE w:val="0"/>
        <w:autoSpaceDN w:val="0"/>
        <w:adjustRightInd w:val="0"/>
        <w:spacing w:line="276" w:lineRule="auto"/>
        <w:jc w:val="both"/>
        <w:rPr>
          <w:rFonts w:eastAsia="TimesNewRomanPSMT"/>
          <w:color w:val="000000"/>
        </w:rPr>
      </w:pPr>
      <w:r w:rsidRPr="00082B72">
        <w:rPr>
          <w:rFonts w:eastAsia="TimesNewRomanPSMT"/>
          <w:color w:val="000000"/>
        </w:rPr>
        <w:t>- ponuka s druhou najnižšou cenou bude označená ako druhá, ponuka s treťou najnižšou cenou bude označená ako tretia atď., tieto ponuky budú identifikované ako neúspešné.</w:t>
      </w:r>
    </w:p>
    <w:p w14:paraId="3381A765" w14:textId="77777777" w:rsidR="003049D7" w:rsidRPr="00082B72" w:rsidRDefault="003049D7" w:rsidP="003049D7">
      <w:pPr>
        <w:autoSpaceDE w:val="0"/>
        <w:autoSpaceDN w:val="0"/>
        <w:adjustRightInd w:val="0"/>
        <w:spacing w:line="276" w:lineRule="auto"/>
        <w:jc w:val="both"/>
        <w:rPr>
          <w:rFonts w:eastAsia="TimesNewRomanPSMT"/>
          <w:color w:val="000000"/>
        </w:rPr>
      </w:pPr>
    </w:p>
    <w:p w14:paraId="0FFF96AD" w14:textId="77777777" w:rsidR="003049D7" w:rsidRPr="00082B72" w:rsidRDefault="003049D7" w:rsidP="002F55B9">
      <w:pPr>
        <w:pStyle w:val="Odsekzoznamu"/>
        <w:numPr>
          <w:ilvl w:val="0"/>
          <w:numId w:val="23"/>
        </w:numPr>
        <w:spacing w:line="276" w:lineRule="auto"/>
        <w:jc w:val="both"/>
        <w:rPr>
          <w:lang w:eastAsia="en-US"/>
        </w:rPr>
      </w:pPr>
      <w:r w:rsidRPr="00082B72">
        <w:rPr>
          <w:b/>
          <w:lang w:eastAsia="en-US"/>
        </w:rPr>
        <w:t>V prípade nepoužitia elektronickej aukcie</w:t>
      </w:r>
      <w:r w:rsidRPr="00082B72">
        <w:rPr>
          <w:lang w:eastAsia="en-US"/>
        </w:rPr>
        <w:t xml:space="preserve"> sa vyhodnotenie ponúk z hľadiska splnenia požiadaviek na predmet zákazky uskutoční po vyhodnotení ponúk na základe kritérií na vyhodnotenie ponúk, a to nasledujúcim spôsobom:</w:t>
      </w:r>
    </w:p>
    <w:p w14:paraId="5B44322E"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zostaví poradie ponúk uchádzačov na základe vyhodnotenia návrhov na plnenie kritéria.</w:t>
      </w:r>
    </w:p>
    <w:p w14:paraId="6245E58D" w14:textId="77777777" w:rsidR="003049D7" w:rsidRPr="00082B72" w:rsidRDefault="003049D7" w:rsidP="002F55B9">
      <w:pPr>
        <w:pStyle w:val="Odsekzoznamu"/>
        <w:numPr>
          <w:ilvl w:val="0"/>
          <w:numId w:val="24"/>
        </w:numPr>
        <w:spacing w:line="276" w:lineRule="auto"/>
        <w:jc w:val="both"/>
        <w:rPr>
          <w:lang w:eastAsia="en-US"/>
        </w:rPr>
      </w:pPr>
      <w:r w:rsidRPr="00082B72">
        <w:rPr>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w:t>
      </w:r>
      <w:r w:rsidRPr="00EF153E">
        <w:lastRenderedPageBreak/>
        <w:t xml:space="preserve">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9"/>
    </w:p>
    <w:p w14:paraId="52591667" w14:textId="6092CA9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w:t>
      </w:r>
      <w:r w:rsidR="00CA17D0">
        <w:t xml:space="preserve">vyzve úspešného uchádzača a </w:t>
      </w:r>
      <w:r w:rsidRPr="007842D8">
        <w:rPr>
          <w:rFonts w:eastAsia="TimesNewRomanPSMT"/>
          <w:color w:val="000000"/>
        </w:rPr>
        <w:t>pristúpi k uzavretiu zmluvy</w:t>
      </w:r>
      <w:r w:rsidR="00CA17D0">
        <w:rPr>
          <w:rFonts w:eastAsia="TimesNewRomanPSMT"/>
          <w:color w:val="000000"/>
        </w:rPr>
        <w:t xml:space="preserve"> </w:t>
      </w:r>
      <w:r w:rsidR="005060E0">
        <w:rPr>
          <w:rFonts w:eastAsia="TimesNewRomanPSMT"/>
          <w:color w:val="000000"/>
        </w:rPr>
        <w:t>alebo objednávky</w:t>
      </w:r>
      <w:r w:rsidRPr="007842D8">
        <w:rPr>
          <w:rFonts w:eastAsia="TimesNewRomanPSMT"/>
          <w:color w:val="000000"/>
        </w:rPr>
        <w:t xml:space="preserve">. </w:t>
      </w:r>
    </w:p>
    <w:p w14:paraId="3EBD3EDE" w14:textId="77777777" w:rsidR="007F1D91" w:rsidRPr="007842D8" w:rsidRDefault="007F1D91" w:rsidP="00A7214B">
      <w:pPr>
        <w:autoSpaceDE w:val="0"/>
        <w:autoSpaceDN w:val="0"/>
        <w:adjustRightInd w:val="0"/>
        <w:spacing w:line="276" w:lineRule="auto"/>
        <w:jc w:val="both"/>
        <w:rPr>
          <w:rFonts w:eastAsia="TimesNewRomanPSMT"/>
          <w:color w:val="000000"/>
        </w:rPr>
      </w:pPr>
    </w:p>
    <w:p w14:paraId="7D218F21" w14:textId="4DEAA62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w:t>
      </w:r>
      <w:r w:rsidR="005060E0">
        <w:rPr>
          <w:color w:val="000000"/>
        </w:rPr>
        <w:t xml:space="preserve"> uzatvoreniu </w:t>
      </w:r>
      <w:r w:rsidRPr="007842D8">
        <w:rPr>
          <w:rFonts w:eastAsia="TimesNewRomanPSMT"/>
          <w:color w:val="000000"/>
        </w:rPr>
        <w:t xml:space="preserve"> zmluvy</w:t>
      </w:r>
      <w:r w:rsidR="009C2ECD">
        <w:rPr>
          <w:rFonts w:eastAsia="TimesNewRomanPSMT"/>
          <w:color w:val="000000"/>
        </w:rPr>
        <w:t xml:space="preserve"> alebo objednávky</w:t>
      </w:r>
      <w:r w:rsidRPr="007842D8">
        <w:rPr>
          <w:rFonts w:eastAsia="TimesNewRomanPSMT"/>
          <w:color w:val="000000"/>
        </w:rPr>
        <w:t xml:space="preserve">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5B2F0E" w:rsidRDefault="00ED1F88" w:rsidP="005B2F76">
      <w:pPr>
        <w:pStyle w:val="Odsekzoznamu"/>
        <w:numPr>
          <w:ilvl w:val="0"/>
          <w:numId w:val="2"/>
        </w:numPr>
        <w:autoSpaceDE w:val="0"/>
        <w:autoSpaceDN w:val="0"/>
        <w:adjustRightInd w:val="0"/>
        <w:spacing w:line="276" w:lineRule="auto"/>
        <w:contextualSpacing/>
        <w:jc w:val="both"/>
        <w:rPr>
          <w:color w:val="000000"/>
        </w:rPr>
      </w:pPr>
      <w:r w:rsidRPr="005B2F0E">
        <w:rPr>
          <w:rFonts w:eastAsia="TimesNewRomanPSMT"/>
          <w:color w:val="000000"/>
        </w:rPr>
        <w:t>Príloha č. 1</w:t>
      </w:r>
      <w:r w:rsidR="00413475" w:rsidRPr="005B2F0E">
        <w:rPr>
          <w:rFonts w:eastAsia="TimesNewRomanPSMT"/>
          <w:color w:val="000000"/>
        </w:rPr>
        <w:t xml:space="preserve">: </w:t>
      </w:r>
      <w:r w:rsidR="006D7653" w:rsidRPr="005B2F0E">
        <w:rPr>
          <w:rFonts w:eastAsia="TimesNewRomanPSMT"/>
          <w:color w:val="000000"/>
        </w:rPr>
        <w:tab/>
      </w:r>
      <w:r w:rsidR="003E579B" w:rsidRPr="005B2F0E">
        <w:rPr>
          <w:rFonts w:eastAsia="TimesNewRomanPSMT"/>
          <w:color w:val="000000"/>
        </w:rPr>
        <w:t>Opis predmetu zákazky</w:t>
      </w:r>
      <w:r w:rsidR="006D7653" w:rsidRPr="005B2F0E">
        <w:rPr>
          <w:rFonts w:eastAsia="TimesNewRomanPSMT"/>
          <w:color w:val="000000"/>
        </w:rPr>
        <w:t>, v</w:t>
      </w:r>
      <w:r w:rsidR="00C76C31" w:rsidRPr="005B2F0E">
        <w:rPr>
          <w:rFonts w:eastAsia="TimesNewRomanPSMT"/>
          <w:color w:val="000000"/>
        </w:rPr>
        <w:t>lastný návrh plnenia</w:t>
      </w:r>
    </w:p>
    <w:p w14:paraId="6E41C8D0" w14:textId="19C443CC" w:rsidR="006D7653" w:rsidRPr="005B2F0E" w:rsidRDefault="006D7653" w:rsidP="005B2F76">
      <w:pPr>
        <w:pStyle w:val="Odsekzoznamu"/>
        <w:numPr>
          <w:ilvl w:val="0"/>
          <w:numId w:val="2"/>
        </w:numPr>
        <w:autoSpaceDE w:val="0"/>
        <w:autoSpaceDN w:val="0"/>
        <w:adjustRightInd w:val="0"/>
        <w:spacing w:line="276" w:lineRule="auto"/>
        <w:contextualSpacing/>
        <w:jc w:val="both"/>
      </w:pPr>
      <w:r w:rsidRPr="005B2F0E">
        <w:rPr>
          <w:rFonts w:eastAsia="TimesNewRomanPSMT"/>
        </w:rPr>
        <w:t xml:space="preserve">Príloha č. 2: </w:t>
      </w:r>
      <w:r w:rsidRPr="005B2F0E">
        <w:rPr>
          <w:rFonts w:eastAsia="TimesNewRomanPSMT"/>
        </w:rPr>
        <w:tab/>
        <w:t xml:space="preserve">Návrh štruktúrovaného rozpočtu </w:t>
      </w:r>
    </w:p>
    <w:p w14:paraId="0EE63B2B" w14:textId="77777777" w:rsidR="00882924" w:rsidRPr="005B2F0E" w:rsidRDefault="006D7653"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3:</w:t>
      </w:r>
      <w:r w:rsidRPr="005B2F0E">
        <w:rPr>
          <w:rFonts w:eastAsia="TimesNewRomanPSMT"/>
        </w:rPr>
        <w:tab/>
      </w:r>
      <w:r w:rsidR="00C76C31" w:rsidRPr="005B2F0E">
        <w:rPr>
          <w:rFonts w:eastAsia="TimesNewRomanPSMT"/>
        </w:rPr>
        <w:t xml:space="preserve">Kritérium  na vyhodnotenie ponúk, pravidlá jeho uplatnenia a pravidlá </w:t>
      </w:r>
    </w:p>
    <w:p w14:paraId="1B113848" w14:textId="250EC7AE" w:rsidR="00C76C31" w:rsidRPr="005B2F0E" w:rsidRDefault="00882924" w:rsidP="00882924">
      <w:pPr>
        <w:pStyle w:val="Odsekzoznamu"/>
        <w:autoSpaceDE w:val="0"/>
        <w:autoSpaceDN w:val="0"/>
        <w:adjustRightInd w:val="0"/>
        <w:spacing w:line="276" w:lineRule="auto"/>
        <w:ind w:left="360"/>
        <w:contextualSpacing/>
        <w:jc w:val="both"/>
        <w:rPr>
          <w:rFonts w:eastAsia="TimesNewRomanPSMT"/>
        </w:rPr>
      </w:pPr>
      <w:r w:rsidRPr="005B2F0E">
        <w:rPr>
          <w:rFonts w:eastAsia="TimesNewRomanPSMT"/>
        </w:rPr>
        <w:t xml:space="preserve">                             </w:t>
      </w:r>
      <w:r w:rsidR="00C76C31" w:rsidRPr="005B2F0E">
        <w:rPr>
          <w:rFonts w:eastAsia="TimesNewRomanPSMT"/>
        </w:rPr>
        <w:t>elektronickej aukcie</w:t>
      </w:r>
    </w:p>
    <w:p w14:paraId="7EA8D567" w14:textId="78E6F276" w:rsidR="00C76C31" w:rsidRPr="005B2F0E" w:rsidRDefault="00C76C31" w:rsidP="00C76C3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4:</w:t>
      </w:r>
      <w:r w:rsidRPr="005B2F0E">
        <w:rPr>
          <w:rFonts w:eastAsia="TimesNewRomanPSMT"/>
        </w:rPr>
        <w:tab/>
        <w:t xml:space="preserve">Návrh zmluvy </w:t>
      </w:r>
    </w:p>
    <w:p w14:paraId="20D40316" w14:textId="0B305295" w:rsidR="003027C4" w:rsidRPr="005B2F0E" w:rsidRDefault="002C70C1" w:rsidP="002C70C1">
      <w:pPr>
        <w:pStyle w:val="Odsekzoznamu"/>
        <w:numPr>
          <w:ilvl w:val="0"/>
          <w:numId w:val="2"/>
        </w:numPr>
        <w:autoSpaceDE w:val="0"/>
        <w:autoSpaceDN w:val="0"/>
        <w:adjustRightInd w:val="0"/>
        <w:spacing w:line="276" w:lineRule="auto"/>
        <w:contextualSpacing/>
        <w:jc w:val="both"/>
        <w:rPr>
          <w:rFonts w:eastAsia="TimesNewRomanPSMT"/>
        </w:rPr>
      </w:pPr>
      <w:r w:rsidRPr="005B2F0E">
        <w:rPr>
          <w:rFonts w:eastAsia="TimesNewRomanPSMT"/>
        </w:rPr>
        <w:t>Príloha č. 5:</w:t>
      </w:r>
      <w:r w:rsidRPr="005B2F0E">
        <w:rPr>
          <w:rFonts w:eastAsia="TimesNewRomanPSMT"/>
        </w:rPr>
        <w:tab/>
        <w:t xml:space="preserve">Čestné vyhlásenie uchádzača </w:t>
      </w:r>
    </w:p>
    <w:sectPr w:rsidR="003027C4" w:rsidRPr="005B2F0E" w:rsidSect="00AD612E">
      <w:headerReference w:type="default" r:id="rId18"/>
      <w:footerReference w:type="default" r:id="rId19"/>
      <w:headerReference w:type="first" r:id="rId20"/>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6A678" w14:textId="77777777" w:rsidR="00310DF4" w:rsidRDefault="00310DF4">
      <w:r>
        <w:separator/>
      </w:r>
    </w:p>
  </w:endnote>
  <w:endnote w:type="continuationSeparator" w:id="0">
    <w:p w14:paraId="38E0EACB" w14:textId="77777777" w:rsidR="00310DF4" w:rsidRDefault="00310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40C48526"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047EA4" w:rsidRPr="00047EA4">
      <w:rPr>
        <w:noProof/>
        <w:sz w:val="16"/>
        <w:szCs w:val="16"/>
        <w:lang w:val="sk-SK"/>
      </w:rPr>
      <w:t>12</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F0FA9" w14:textId="77777777" w:rsidR="00310DF4" w:rsidRDefault="00310DF4">
      <w:r>
        <w:separator/>
      </w:r>
    </w:p>
  </w:footnote>
  <w:footnote w:type="continuationSeparator" w:id="0">
    <w:p w14:paraId="27317770" w14:textId="77777777" w:rsidR="00310DF4" w:rsidRDefault="00310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77927" w14:textId="6DEE219C" w:rsidR="00EE6078" w:rsidRDefault="00EE6078" w:rsidP="00B320AE">
    <w:pPr>
      <w:pStyle w:val="Hlavika"/>
      <w:jc w:val="center"/>
      <w:rPr>
        <w:lang w:val="sk-SK"/>
      </w:rPr>
    </w:pPr>
    <w:r>
      <w:rPr>
        <w:lang w:val="sk-SK"/>
      </w:rPr>
      <w:tab/>
    </w:r>
    <w:r>
      <w:rPr>
        <w:lang w:val="sk-SK"/>
      </w:rPr>
      <w:tab/>
    </w:r>
    <w:r>
      <w:rPr>
        <w:lang w:val="sk-SK"/>
      </w:rPr>
      <w:t xml:space="preserve">Príloha č. 2 SP </w:t>
    </w:r>
  </w:p>
  <w:p w14:paraId="0E899338" w14:textId="79AFC25A" w:rsidR="00AD612E" w:rsidRPr="007842D8" w:rsidRDefault="00AD612E" w:rsidP="00C21AEA">
    <w:pPr>
      <w:pStyle w:val="Hlavika"/>
      <w:ind w:left="2098"/>
      <w:jc w:val="right"/>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2EB16E22" w:rsidR="00AD612E" w:rsidRPr="00882924" w:rsidRDefault="00B320AE" w:rsidP="00C21AEA">
    <w:pPr>
      <w:pStyle w:val="Hlavika"/>
      <w:ind w:left="2098"/>
      <w:jc w:val="right"/>
    </w:pPr>
    <w:r w:rsidRPr="007842D8">
      <w:rPr>
        <w:b/>
        <w:lang w:val="sk-SK"/>
      </w:rPr>
      <w:t xml:space="preserve"> </w:t>
    </w:r>
    <w:r w:rsidRPr="00882924">
      <w:rPr>
        <w:lang w:val="sk-SK"/>
      </w:rPr>
      <w:t>„</w:t>
    </w:r>
    <w:r w:rsidR="00C21AEA">
      <w:rPr>
        <w:lang w:val="sk-SK"/>
      </w:rPr>
      <w:t>Osobné ochranné pracovné prostriedky, odevy, obuv a </w:t>
    </w:r>
    <w:proofErr w:type="spellStart"/>
    <w:r w:rsidR="00C21AEA">
      <w:rPr>
        <w:lang w:val="sk-SK"/>
      </w:rPr>
      <w:t>iné</w:t>
    </w:r>
    <w:r w:rsidR="00694DF4">
      <w:rPr>
        <w:lang w:val="sk-SK"/>
      </w:rPr>
      <w:t>_DNS</w:t>
    </w:r>
    <w:proofErr w:type="spellEnd"/>
    <w:r w:rsidRPr="00882924">
      <w:rPr>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rgUAYgmIx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47EA4"/>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2B6"/>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6DF7"/>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85B"/>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0DF4"/>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275"/>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27B"/>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6986"/>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43B"/>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5F8"/>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08"/>
    <w:rsid w:val="00581B8F"/>
    <w:rsid w:val="0058210C"/>
    <w:rsid w:val="00582C77"/>
    <w:rsid w:val="00582E0D"/>
    <w:rsid w:val="00583661"/>
    <w:rsid w:val="00584342"/>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0E"/>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0D3C"/>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20F6"/>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5ACD"/>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09"/>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18D"/>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616"/>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AEA"/>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2710"/>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078"/>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E8E35F3-2F73-47EE-858D-465A062C3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vyhladavanie-zakaziek/detail/oznamenia/XXXXXXX"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XXXXXXXXy"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sk/tender/XXXXX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E5579-BB1A-4035-9551-79A2B0019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1</Pages>
  <Words>4109</Words>
  <Characters>23423</Characters>
  <Application>Microsoft Office Word</Application>
  <DocSecurity>0</DocSecurity>
  <Lines>195</Lines>
  <Paragraphs>54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27478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Petronela Pitoňáková</cp:lastModifiedBy>
  <cp:revision>4</cp:revision>
  <cp:lastPrinted>2021-01-20T13:59:00Z</cp:lastPrinted>
  <dcterms:created xsi:type="dcterms:W3CDTF">2023-03-06T14:51:00Z</dcterms:created>
  <dcterms:modified xsi:type="dcterms:W3CDTF">2023-03-28T12:54:00Z</dcterms:modified>
</cp:coreProperties>
</file>