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ytu"/>
        <w:spacing w:lineRule="auto" w:line="360" w:before="240" w:after="120"/>
        <w:jc w:val="right"/>
        <w:rPr>
          <w:rFonts w:ascii="Tahoma" w:hAnsi="Tahoma" w:eastAsia="NSimSun" w:cs="Lucida Sans"/>
          <w:b w:val="false"/>
          <w:b w:val="false"/>
          <w:bCs w:val="false"/>
          <w:color w:val="000000"/>
          <w:kern w:val="2"/>
          <w:sz w:val="24"/>
          <w:szCs w:val="24"/>
          <w:shd w:fill="auto" w:val="clear"/>
          <w:lang w:val="pl-PL" w:eastAsia="zh-CN" w:bidi="hi-IN"/>
        </w:rPr>
      </w:pPr>
      <w:r>
        <w:rPr>
          <w:rFonts w:eastAsia="NSimSun" w:cs="Lucida Sans" w:ascii="Tahoma" w:hAnsi="Tahoma"/>
          <w:b w:val="false"/>
          <w:bCs w:val="false"/>
          <w:color w:val="000000"/>
          <w:kern w:val="2"/>
          <w:sz w:val="24"/>
          <w:szCs w:val="24"/>
          <w:shd w:fill="auto" w:val="clear"/>
          <w:lang w:val="pl-PL" w:eastAsia="zh-CN" w:bidi="hi-IN"/>
        </w:rPr>
        <w:t>Załącznik nr 7 – Opis przedmiotu zamówienia</w:t>
      </w:r>
    </w:p>
    <w:p>
      <w:pPr>
        <w:pStyle w:val="Tytu"/>
        <w:spacing w:lineRule="auto" w:line="360" w:before="240" w:after="120"/>
        <w:rPr>
          <w:rFonts w:ascii="Tahoma" w:hAnsi="Tahoma"/>
          <w:sz w:val="48"/>
          <w:szCs w:val="56"/>
        </w:rPr>
      </w:pPr>
      <w:r>
        <w:rPr>
          <w:rFonts w:ascii="Tahoma" w:hAnsi="Tahoma"/>
          <w:sz w:val="48"/>
          <w:szCs w:val="56"/>
        </w:rPr>
        <w:t>Opis przedmiotu zamówienia</w:t>
      </w:r>
    </w:p>
    <w:p>
      <w:pPr>
        <w:pStyle w:val="Tretekstu"/>
        <w:spacing w:lineRule="auto" w:line="360" w:before="0" w:after="140"/>
        <w:jc w:val="center"/>
        <w:rPr>
          <w:rFonts w:ascii="Tahoma" w:hAnsi="Tahoma"/>
          <w:b/>
          <w:b/>
          <w:bCs/>
        </w:rPr>
      </w:pPr>
      <w:r>
        <w:rPr>
          <w:rFonts w:ascii="Tahoma" w:hAnsi="Tahoma"/>
          <w:b/>
          <w:bCs/>
        </w:rPr>
        <w:t>dla przetargu pod nazw</w:t>
      </w:r>
      <w:r>
        <w:rPr>
          <w:rFonts w:ascii="Tahoma" w:hAnsi="Tahoma"/>
          <w:b/>
          <w:bCs/>
          <w:shd w:fill="auto" w:val="clear"/>
        </w:rPr>
        <w:t>ą: Dostawa sprzętu sieciowego pozwalającego na przyłączenie do szerokopasmowej sieci w ramach projektu grantowego „Cyfrowa Gmina”</w:t>
      </w:r>
    </w:p>
    <w:p>
      <w:pPr>
        <w:pStyle w:val="Normal"/>
        <w:spacing w:lineRule="auto" w:line="360"/>
        <w:jc w:val="left"/>
        <w:rPr>
          <w:rFonts w:ascii="Tahoma" w:hAnsi="Tahoma" w:eastAsia="NSimSun" w:cs="Lucida Sans"/>
          <w:color w:val="auto"/>
          <w:kern w:val="2"/>
          <w:sz w:val="24"/>
          <w:szCs w:val="24"/>
          <w:lang w:val="pl-PL" w:eastAsia="zh-CN" w:bidi="hi-IN"/>
        </w:rPr>
      </w:pPr>
      <w:r>
        <w:rPr>
          <w:rFonts w:eastAsia="NSimSun" w:cs="Lucida Sans" w:ascii="Tahoma" w:hAnsi="Tahoma"/>
          <w:color w:val="auto"/>
          <w:kern w:val="2"/>
          <w:sz w:val="24"/>
          <w:szCs w:val="24"/>
          <w:lang w:val="pl-PL" w:eastAsia="zh-CN" w:bidi="hi-IN"/>
        </w:rPr>
      </w:r>
    </w:p>
    <w:p>
      <w:pPr>
        <w:pStyle w:val="Normal"/>
        <w:numPr>
          <w:ilvl w:val="0"/>
          <w:numId w:val="2"/>
        </w:numPr>
        <w:spacing w:lineRule="auto" w:line="360"/>
        <w:jc w:val="both"/>
        <w:rPr/>
      </w:pPr>
      <w:r>
        <w:rPr>
          <w:rFonts w:eastAsia="NSimSun" w:cs="Lucida Sans" w:ascii="Tahoma" w:hAnsi="Tahoma"/>
          <w:color w:val="000000"/>
          <w:kern w:val="2"/>
          <w:sz w:val="24"/>
          <w:szCs w:val="24"/>
          <w:shd w:fill="auto" w:val="clear"/>
          <w:lang w:val="pl-PL" w:eastAsia="zh-CN" w:bidi="hi-IN"/>
        </w:rPr>
        <w:t>Przedmiotem zamówienia jest dostawa do Urzędu Miejskiego w Andrychowie, ul. Rynek 15, 34-120 Andrychów sprzętu sieciowego pozwalającego na przyłączenie do szerokopasmowej sieci w ramach projektu grantowego „Cyfrowa Gmina”  w ramach umowy o powierzenie grantu o numerze 317/1/2021 w ramach Progr</w:t>
      </w:r>
      <w:r>
        <w:rPr>
          <w:rFonts w:eastAsia="NSimSun" w:cs="Lucida Sans" w:ascii="Tahoma" w:hAnsi="Tahoma"/>
          <w:color w:val="auto"/>
          <w:kern w:val="2"/>
          <w:sz w:val="24"/>
          <w:szCs w:val="24"/>
          <w:lang w:val="pl-PL" w:eastAsia="zh-CN" w:bidi="hi-IN"/>
        </w:rPr>
        <w:t>amu Operacyjnego Polska Cyfrowa na lata 2014-2020 Osi Priorytetowej V Rozwój cyfrowy JST oraz wzmocnienie cyfrowej odporności na zagrożenia REACT-EU działania 5.1 Rozwój cyfrowy JST oraz wzmocnienie cyfrowej odporności na zagrożenia dotycząca realizacji projektu grantowego „Cyfrowa Gmina” o numerze POPC.05.01.00-00-0001/21-00.</w:t>
      </w:r>
    </w:p>
    <w:p>
      <w:pPr>
        <w:pStyle w:val="Normal"/>
        <w:numPr>
          <w:ilvl w:val="0"/>
          <w:numId w:val="2"/>
        </w:numPr>
        <w:spacing w:lineRule="auto" w:line="360"/>
        <w:jc w:val="both"/>
        <w:rPr/>
      </w:pPr>
      <w:r>
        <w:rPr>
          <w:rFonts w:eastAsia="NSimSun" w:cs="Lucida Sans" w:ascii="Tahoma" w:hAnsi="Tahoma"/>
          <w:color w:val="auto"/>
          <w:kern w:val="2"/>
          <w:sz w:val="24"/>
          <w:szCs w:val="24"/>
          <w:lang w:val="pl-PL" w:eastAsia="zh-CN" w:bidi="hi-IN"/>
        </w:rPr>
        <w:t xml:space="preserve">Wszystkie oferowane artykuły mają być: fabrycznie nowe, oryginalnie zapakowane, nieregenerowane, nieuszkodzone, oraz </w:t>
      </w:r>
      <w:r>
        <w:rPr>
          <w:rFonts w:eastAsia="NSimSun" w:cs="Calibri" w:ascii="Tahoma" w:hAnsi="Tahoma"/>
          <w:bCs/>
          <w:color w:val="auto"/>
          <w:kern w:val="2"/>
          <w:sz w:val="24"/>
          <w:szCs w:val="24"/>
          <w:lang w:val="pl-PL" w:eastAsia="zh-CN" w:bidi="hi-IN"/>
        </w:rPr>
        <w:t>pochodzić z legalnego kanału sprzedaży producenta.</w:t>
      </w:r>
    </w:p>
    <w:p>
      <w:pPr>
        <w:pStyle w:val="Normal"/>
        <w:numPr>
          <w:ilvl w:val="0"/>
          <w:numId w:val="2"/>
        </w:numPr>
        <w:spacing w:lineRule="auto" w:line="360"/>
        <w:jc w:val="both"/>
        <w:rPr>
          <w:rFonts w:ascii="Tahoma" w:hAnsi="Tahoma" w:eastAsia="NSimSun" w:cs="Lucida Sans"/>
          <w:color w:val="auto"/>
          <w:kern w:val="2"/>
          <w:sz w:val="24"/>
          <w:szCs w:val="24"/>
          <w:lang w:val="pl-PL" w:eastAsia="zh-CN" w:bidi="hi-IN"/>
        </w:rPr>
      </w:pPr>
      <w:r>
        <w:rPr>
          <w:rFonts w:eastAsia="NSimSun" w:cs="Lucida Sans" w:ascii="Tahoma" w:hAnsi="Tahoma"/>
          <w:color w:val="auto"/>
          <w:kern w:val="2"/>
          <w:sz w:val="24"/>
          <w:szCs w:val="24"/>
          <w:lang w:val="pl-PL" w:eastAsia="zh-CN" w:bidi="hi-IN"/>
        </w:rPr>
        <w:t xml:space="preserve">Wykonawca zobowiązany jest dostarczać własnym transportem i na własny koszt przedmiot zamówienia na wskazany adres. </w:t>
      </w:r>
    </w:p>
    <w:p>
      <w:pPr>
        <w:pStyle w:val="Normal"/>
        <w:numPr>
          <w:ilvl w:val="0"/>
          <w:numId w:val="2"/>
        </w:numPr>
        <w:spacing w:lineRule="auto" w:line="360"/>
        <w:jc w:val="both"/>
        <w:rPr>
          <w:rFonts w:ascii="Tahoma" w:hAnsi="Tahoma" w:eastAsia="NSimSun" w:cs="Lucida Sans"/>
          <w:color w:val="000000"/>
          <w:kern w:val="2"/>
          <w:sz w:val="24"/>
          <w:szCs w:val="24"/>
          <w:shd w:fill="auto" w:val="clear"/>
          <w:lang w:val="pl-PL" w:eastAsia="zh-CN" w:bidi="hi-IN"/>
        </w:rPr>
      </w:pPr>
      <w:r>
        <w:rPr>
          <w:rFonts w:eastAsia="NSimSun" w:cs="Lucida Sans" w:ascii="Tahoma" w:hAnsi="Tahoma"/>
          <w:color w:val="000000"/>
          <w:kern w:val="2"/>
          <w:sz w:val="24"/>
          <w:szCs w:val="24"/>
          <w:shd w:fill="auto" w:val="clear"/>
          <w:lang w:val="pl-PL" w:eastAsia="zh-CN" w:bidi="hi-IN"/>
        </w:rPr>
        <w:t>Zaoferowane parametry równoważne nie mogą być gorsze od wskazanych i mają gwarantować osiągnięcie zakładanych wydajności. Wykonawca, który powołuje się na rozwiązania równoważne opisane przez Zamawiającego, jest obowiązany wykazać, że oferowane przez niego dostawy spełniają wymagania określone przez Zamawiającego.</w:t>
      </w:r>
    </w:p>
    <w:p>
      <w:pPr>
        <w:pStyle w:val="Western"/>
        <w:numPr>
          <w:ilvl w:val="0"/>
          <w:numId w:val="1"/>
        </w:numPr>
        <w:spacing w:before="280" w:after="198"/>
        <w:jc w:val="center"/>
        <w:rPr/>
      </w:pPr>
      <w:r>
        <w:rPr>
          <w:rFonts w:cs="Arial" w:ascii="Arial" w:hAnsi="Arial"/>
          <w:b/>
          <w:bCs/>
          <w:sz w:val="44"/>
          <w:szCs w:val="44"/>
          <w:u w:val="single"/>
        </w:rPr>
        <w:br/>
      </w:r>
      <w:r>
        <w:rPr>
          <w:rFonts w:cs="Arial" w:ascii="Arial" w:hAnsi="Arial"/>
          <w:b/>
          <w:bCs/>
          <w:sz w:val="32"/>
          <w:szCs w:val="32"/>
          <w:u w:val="single"/>
        </w:rPr>
        <w:t xml:space="preserve">Szczegółowy opis </w:t>
      </w:r>
      <w:r>
        <w:rPr>
          <w:rFonts w:eastAsia="Times New Roman" w:cs="Arial" w:ascii="Arial" w:hAnsi="Arial"/>
          <w:b/>
          <w:bCs/>
          <w:color w:val="auto"/>
          <w:kern w:val="0"/>
          <w:sz w:val="32"/>
          <w:szCs w:val="32"/>
          <w:u w:val="single"/>
          <w:lang w:val="pl-PL" w:eastAsia="pl-PL" w:bidi="ar-SA"/>
        </w:rPr>
        <w:t>urządzeń sieciowych.</w:t>
        <w:br/>
      </w:r>
    </w:p>
    <w:p>
      <w:pPr>
        <w:pStyle w:val="Nagwek1"/>
        <w:numPr>
          <w:ilvl w:val="0"/>
          <w:numId w:val="1"/>
        </w:numPr>
        <w:rPr>
          <w:sz w:val="36"/>
          <w:szCs w:val="32"/>
          <w:u w:val="single"/>
        </w:rPr>
      </w:pPr>
      <w:r>
        <w:rPr>
          <w:rFonts w:ascii="Arial" w:hAnsi="Arial"/>
          <w:sz w:val="36"/>
          <w:szCs w:val="32"/>
          <w:u w:val="single"/>
        </w:rPr>
        <w:t>Przełącznik sieciowy – 6 sztuk</w:t>
      </w:r>
    </w:p>
    <w:p>
      <w:pPr>
        <w:pStyle w:val="Tretekstu"/>
        <w:rPr>
          <w:rFonts w:ascii="Arial" w:hAnsi="Arial"/>
          <w:sz w:val="12"/>
          <w:szCs w:val="32"/>
        </w:rPr>
      </w:pPr>
      <w:r>
        <w:rPr>
          <w:rFonts w:ascii="Arial" w:hAnsi="Arial"/>
          <w:sz w:val="12"/>
          <w:szCs w:val="32"/>
        </w:rPr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Zamawiający jest w posiadaniu rozwiązania „FortiGate. Model 100F*”. W ramach rozbudowy istniejącego systemu, której celem jest przeniesienie mechanizmów bezpieczeństwa na warstwę dostępową, wymaganym jest dostarczenie przełącznika współpracującego z istniejącym rozwiązaniem Fortigate w zakresie opisanym w sekcjach: „Dodatkowe funkcje urządzenia przy integracji z systemem centralnego zarządzania oraz „Funkcje urządzenia przy integracji z systemem centralnego zarządzania lub bezpieczeństwa”, o parametrach jak niżej.</w:t>
        <w:br/>
        <w:t>Wszystkie dostarczone urządzenia muszą umożliwiać logowanie zdarzeń do centralnego systemu zbierania i korelacji zdarzeń FortiCloud* oraz FortiAnalyzer* posiadanego przez Zamawiającego.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</w:r>
    </w:p>
    <w:p>
      <w:pPr>
        <w:pStyle w:val="Tretekstu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>Interfejsy sieciowe - wymagania minimalne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>Wymaganym jest aby przełącznik dysponował niezależnymi interfejsami sieciowymi (nie dopuszcza się portów typu combo) w ilości: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>48 portów GE RJ-45., w tym porty PoE w ilości co najmniej: 48, zgodne ze standardem: 802.3 af oraz 802.3 at.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>4 porty 10 GE SFP+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</w:r>
    </w:p>
    <w:p>
      <w:pPr>
        <w:pStyle w:val="Tretekstu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>Zarządzanie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</w:r>
      <w:r>
        <w:rPr>
          <w:rFonts w:ascii="Arial" w:hAnsi="Arial"/>
          <w:b w:val="false"/>
          <w:bCs w:val="false"/>
          <w:sz w:val="28"/>
          <w:szCs w:val="28"/>
        </w:rPr>
        <w:t>Dedykowany 1 interfejs Ethernet RJ-45 do zarządzania.</w:t>
      </w:r>
    </w:p>
    <w:p>
      <w:pPr>
        <w:pStyle w:val="Tretekstu"/>
        <w:rPr>
          <w:rFonts w:ascii="Arial" w:hAnsi="Arial"/>
          <w:b w:val="false"/>
          <w:b w:val="false"/>
          <w:bCs w:val="false"/>
          <w:sz w:val="28"/>
          <w:szCs w:val="28"/>
        </w:rPr>
      </w:pPr>
      <w:r>
        <w:rPr>
          <w:rFonts w:ascii="Arial" w:hAnsi="Arial"/>
          <w:b w:val="false"/>
          <w:bCs w:val="false"/>
          <w:sz w:val="28"/>
          <w:szCs w:val="28"/>
        </w:rPr>
        <w:t>•</w:t>
      </w:r>
      <w:r>
        <w:rPr>
          <w:rFonts w:ascii="Arial" w:hAnsi="Arial"/>
          <w:b w:val="false"/>
          <w:bCs w:val="false"/>
          <w:sz w:val="28"/>
          <w:szCs w:val="28"/>
        </w:rPr>
        <w:tab/>
        <w:t>Wbudowany 1 port konsoli szeregowej do pełnego zarządzania.</w:t>
      </w:r>
    </w:p>
    <w:p>
      <w:pPr>
        <w:pStyle w:val="Tretekstu"/>
        <w:rPr>
          <w:rFonts w:ascii="Arial" w:hAnsi="Arial"/>
          <w:b w:val="false"/>
          <w:b w:val="false"/>
          <w:bCs w:val="false"/>
          <w:sz w:val="28"/>
          <w:szCs w:val="28"/>
        </w:rPr>
      </w:pPr>
      <w:r>
        <w:rPr>
          <w:rFonts w:ascii="Arial" w:hAnsi="Arial"/>
          <w:b w:val="false"/>
          <w:bCs w:val="false"/>
          <w:sz w:val="28"/>
          <w:szCs w:val="28"/>
        </w:rPr>
        <w:t>•</w:t>
      </w:r>
      <w:r>
        <w:rPr>
          <w:rFonts w:ascii="Arial" w:hAnsi="Arial"/>
          <w:b w:val="false"/>
          <w:bCs w:val="false"/>
          <w:sz w:val="28"/>
          <w:szCs w:val="28"/>
        </w:rPr>
        <w:tab/>
        <w:t>Zarządzanie przez: command line (w tym poprzez SSH) oraz poprzez graficzny interfejs z wykorzystaniem przeglądarki (HTTPS).</w:t>
      </w:r>
    </w:p>
    <w:p>
      <w:pPr>
        <w:pStyle w:val="Tretekstu"/>
        <w:rPr>
          <w:rFonts w:ascii="Arial" w:hAnsi="Arial"/>
          <w:b w:val="false"/>
          <w:b w:val="false"/>
          <w:bCs w:val="false"/>
          <w:sz w:val="28"/>
          <w:szCs w:val="28"/>
        </w:rPr>
      </w:pPr>
      <w:r>
        <w:rPr>
          <w:rFonts w:ascii="Arial" w:hAnsi="Arial"/>
          <w:b w:val="false"/>
          <w:bCs w:val="false"/>
          <w:sz w:val="28"/>
          <w:szCs w:val="28"/>
        </w:rPr>
        <w:t>•</w:t>
      </w:r>
      <w:r>
        <w:rPr>
          <w:rFonts w:ascii="Arial" w:hAnsi="Arial"/>
          <w:b w:val="false"/>
          <w:bCs w:val="false"/>
          <w:sz w:val="28"/>
          <w:szCs w:val="28"/>
        </w:rPr>
        <w:tab/>
        <w:t>Wsparcie dla SNMP w wersjach 1, 2, 3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>Funkcja zarządzania poprzez dedykowany kontroler przełączników lub system zarządzania, pozwalający na  automatyczne wykrywanie, centralne konfigurowanie oraz zarządzanie przełącznikami.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>Funkcja aktualizacji oprogramowania przez TFTP/FTP oraz za pomocą GUI.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>Konfiguracja w formie pliku tekstowego umożliwiającego edycję konfiguracji offline.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>Funkcja backupu konfiguracji z poziomu GUI jak również z CLI (TFTP/FTP).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>Funkcja definiowania administratorów lokalnie oraz wykorzystanie w tym celu z serwerów Radius i TACACS+.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>Funkcja definiowania ról administratorów przydzielających tryb dostępu (brak, tylko odczyt, odczyt oraz modyfikacja) do wybranych części konfiguracji.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</w:r>
    </w:p>
    <w:p>
      <w:pPr>
        <w:pStyle w:val="Tretekstu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</w:r>
      <w:r>
        <w:br w:type="page"/>
      </w:r>
    </w:p>
    <w:p>
      <w:pPr>
        <w:pStyle w:val="Tretekstu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>Parametry wydajnościowe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>Przepustowość urządzenia - min. 100 Gbps (pełna prędkość, tzw. wire-speed na wszystkich portach) oraz min.150 Mpps.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>Tablica adresów MAC o pojemności co najmniej 16 k wpisów.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>Opóźnienie wprowadzane przez przełącznik - poniżej 1 mikrosekund.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</w:r>
    </w:p>
    <w:p>
      <w:pPr>
        <w:pStyle w:val="Tretekstu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>Wymagane funkcje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>Funkcja automatycznej negocjacji prędkości i duplexu dla połączeń.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>Obsługa Jumbo Frames.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>Obsługa 802.1d (Spanning Tree), 802.1w (Rapid Spanning Tree), 802.1s (Multiple Spanning Tree).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>Agregacja portów zgodna ze standardem 802.3ad.</w:t>
      </w:r>
    </w:p>
    <w:p>
      <w:pPr>
        <w:pStyle w:val="Tretekstu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>•</w:t>
      </w:r>
      <w:r>
        <w:rPr>
          <w:rFonts w:ascii="Arial" w:hAnsi="Arial"/>
          <w:b w:val="false"/>
          <w:bCs w:val="false"/>
          <w:sz w:val="28"/>
          <w:szCs w:val="28"/>
        </w:rPr>
        <w:tab/>
        <w:t>Obsługa co najmniej 4000 VLAN-ów, zgodna ze standardem 802.1Q.</w:t>
      </w:r>
    </w:p>
    <w:p>
      <w:pPr>
        <w:pStyle w:val="Tretekstu"/>
        <w:rPr>
          <w:rFonts w:ascii="Arial" w:hAnsi="Arial"/>
          <w:b w:val="false"/>
          <w:b w:val="false"/>
          <w:bCs w:val="false"/>
          <w:sz w:val="28"/>
          <w:szCs w:val="28"/>
        </w:rPr>
      </w:pPr>
      <w:r>
        <w:rPr>
          <w:rFonts w:ascii="Arial" w:hAnsi="Arial"/>
          <w:b w:val="false"/>
          <w:bCs w:val="false"/>
          <w:sz w:val="28"/>
          <w:szCs w:val="28"/>
        </w:rPr>
        <w:t>•</w:t>
      </w:r>
      <w:r>
        <w:rPr>
          <w:rFonts w:ascii="Arial" w:hAnsi="Arial"/>
          <w:b w:val="false"/>
          <w:bCs w:val="false"/>
          <w:sz w:val="28"/>
          <w:szCs w:val="28"/>
        </w:rPr>
        <w:tab/>
        <w:t>Wsparcie dla Private VLAN.</w:t>
      </w:r>
    </w:p>
    <w:p>
      <w:pPr>
        <w:pStyle w:val="Tretekstu"/>
        <w:rPr>
          <w:rFonts w:ascii="Arial" w:hAnsi="Arial"/>
          <w:b w:val="false"/>
          <w:b w:val="false"/>
          <w:bCs w:val="false"/>
          <w:sz w:val="28"/>
          <w:szCs w:val="28"/>
        </w:rPr>
      </w:pPr>
      <w:r>
        <w:rPr>
          <w:rFonts w:ascii="Arial" w:hAnsi="Arial"/>
          <w:b w:val="false"/>
          <w:bCs w:val="false"/>
          <w:sz w:val="28"/>
          <w:szCs w:val="28"/>
        </w:rPr>
        <w:t>•</w:t>
      </w:r>
      <w:r>
        <w:rPr>
          <w:rFonts w:ascii="Arial" w:hAnsi="Arial"/>
          <w:b w:val="false"/>
          <w:bCs w:val="false"/>
          <w:sz w:val="28"/>
          <w:szCs w:val="28"/>
        </w:rPr>
        <w:tab/>
        <w:t>Obsługa routingu statycznego.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>Obsługa Quality of Service, w tym zakresie: 802.1p oraz DSCP.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>Port-mirroring.</w:t>
      </w:r>
    </w:p>
    <w:p>
      <w:pPr>
        <w:pStyle w:val="Tretekstu"/>
        <w:rPr>
          <w:rFonts w:ascii="Arial" w:hAnsi="Arial"/>
          <w:sz w:val="28"/>
          <w:szCs w:val="28"/>
          <w:shd w:fill="auto" w:val="clear"/>
        </w:rPr>
      </w:pPr>
      <w:r>
        <w:rPr>
          <w:rFonts w:ascii="Arial" w:hAnsi="Arial"/>
          <w:sz w:val="28"/>
          <w:szCs w:val="28"/>
          <w:shd w:fill="auto" w:val="clear"/>
        </w:rPr>
        <w:t>•</w:t>
      </w:r>
      <w:r>
        <w:rPr>
          <w:rFonts w:ascii="Arial" w:hAnsi="Arial"/>
          <w:sz w:val="28"/>
          <w:szCs w:val="28"/>
          <w:shd w:fill="auto" w:val="clear"/>
        </w:rPr>
        <w:tab/>
        <w:t>Uwierzytelnianie 802.1x na poziomie portu.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  <w:shd w:fill="auto" w:val="clear"/>
        </w:rPr>
        <w:t>•</w:t>
      </w:r>
      <w:r>
        <w:rPr>
          <w:rFonts w:ascii="Arial" w:hAnsi="Arial"/>
          <w:sz w:val="28"/>
          <w:szCs w:val="28"/>
          <w:shd w:fill="auto" w:val="clear"/>
        </w:rPr>
        <w:tab/>
        <w:t>Uwierzytelnianie 802.1x w op</w:t>
      </w:r>
      <w:r>
        <w:rPr>
          <w:rFonts w:ascii="Arial" w:hAnsi="Arial"/>
          <w:sz w:val="28"/>
          <w:szCs w:val="28"/>
        </w:rPr>
        <w:t>arciu o  adres MAC.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>W ramach 802.1x wsparcie dla dedykowanego VLANu dla gości (guest VLAN).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>W ramach 802.1x wsparcie dla  urządzeń, które nie obsługują tego protokołu, na podstawie adresu MAC urządzenia.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>W ramach 802.1x  wsparcie dla dynamicznego przypisywania VLAN.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>Obsługa protokołu sFlow.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</w:r>
    </w:p>
    <w:p>
      <w:pPr>
        <w:pStyle w:val="Tretekstu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>Dodatkowe funkcje urządzenia przy integracji z systemem centralnego zarządzania / NAC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Przełączniki muszą wspierać tryb pracy, w którym są zarządzane przez fizyczny element nadrzędny (przełącznik lub dedykowany kontroler tzw. port extender lub element leaf w architekturze spine-leaf). Zakres zarządzania przez element nadrzędny musi zawierać co najmniej: 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>Funkcja uruchomienia Captive Portalu w celu identyfikacji użytkowników.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 xml:space="preserve">Centralne zarządzanie sieciami VLAN. 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>Rozpoznawanie urządzeń uzyskujących dostęp do sieci.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>Obsługa białych i czarnych list adresów MAC.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>Wykrywanie aplikacji komunikujących się w sieci.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•</w:t>
      </w:r>
      <w:r>
        <w:rPr>
          <w:rFonts w:ascii="Arial" w:hAnsi="Arial"/>
          <w:sz w:val="28"/>
          <w:szCs w:val="28"/>
        </w:rPr>
        <w:tab/>
        <w:t xml:space="preserve">W przypadku gdy do uruchomienia na przełączniku w/w funkcji, polegających na integracji z systemem centralnego zarządzania lub NAC wymagane są licencje, </w:t>
      </w:r>
      <w:r>
        <w:rPr>
          <w:rFonts w:ascii="Arial" w:hAnsi="Arial"/>
          <w:sz w:val="28"/>
          <w:szCs w:val="28"/>
        </w:rPr>
        <w:t>muszą być one</w:t>
      </w:r>
      <w:r>
        <w:rPr>
          <w:rFonts w:ascii="Arial" w:hAnsi="Arial"/>
          <w:sz w:val="28"/>
          <w:szCs w:val="28"/>
        </w:rPr>
        <w:t xml:space="preserve"> dostarcz</w:t>
      </w:r>
      <w:r>
        <w:rPr>
          <w:rFonts w:ascii="Arial" w:hAnsi="Arial"/>
          <w:sz w:val="28"/>
          <w:szCs w:val="28"/>
        </w:rPr>
        <w:t>one</w:t>
      </w:r>
      <w:r>
        <w:rPr>
          <w:rFonts w:ascii="Arial" w:hAnsi="Arial"/>
          <w:sz w:val="28"/>
          <w:szCs w:val="28"/>
        </w:rPr>
        <w:t>.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</w:r>
    </w:p>
    <w:p>
      <w:pPr>
        <w:pStyle w:val="Tretekstu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>Moduły sieciowe: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Wraz z przełącznikami należy dostarczyć następujące moduły sieciowe: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10GE SFP+ transceiver module short range for all systems with SFP+ and SFP/SFP+ slots </w:t>
      </w:r>
      <w:r>
        <w:rPr>
          <w:rFonts w:ascii="Arial" w:hAnsi="Arial"/>
          <w:b/>
          <w:bCs/>
          <w:sz w:val="28"/>
          <w:szCs w:val="28"/>
        </w:rPr>
        <w:t>– 4 sztuki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10GE SFP+ transceiver module long range for all systems with SFP+ and SFP/SFP+ slots </w:t>
      </w:r>
      <w:r>
        <w:rPr>
          <w:rFonts w:ascii="Arial" w:hAnsi="Arial"/>
          <w:b/>
          <w:bCs/>
          <w:sz w:val="28"/>
          <w:szCs w:val="28"/>
        </w:rPr>
        <w:t>– 2 sztuki</w:t>
      </w:r>
    </w:p>
    <w:p>
      <w:pPr>
        <w:pStyle w:val="Tretekstu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</w:r>
    </w:p>
    <w:p>
      <w:pPr>
        <w:pStyle w:val="Tretekstu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>Gwarancja</w:t>
      </w:r>
    </w:p>
    <w:p>
      <w:pPr>
        <w:pStyle w:val="Tretekstu"/>
        <w:spacing w:before="0" w:after="140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Przełączniki sieciowe muszą być objęte serwisem gwarancyjnym  w</w:t>
      </w:r>
      <w:r>
        <w:rPr>
          <w:rFonts w:ascii="Arial" w:hAnsi="Arial"/>
          <w:sz w:val="28"/>
          <w:szCs w:val="28"/>
          <w:shd w:fill="auto" w:val="clear"/>
        </w:rPr>
        <w:t xml:space="preserve"> okresie wskazanym w kryteriach oceny ofert, polegającym na naprawie lub wymianie urządzenia w przypadku jego wadliwości. W ramach tego serwisu </w:t>
      </w:r>
      <w:r>
        <w:rPr>
          <w:rFonts w:ascii="Arial" w:hAnsi="Arial"/>
          <w:sz w:val="28"/>
          <w:szCs w:val="28"/>
        </w:rPr>
        <w:t xml:space="preserve">musi </w:t>
      </w:r>
      <w:r>
        <w:rPr>
          <w:rFonts w:ascii="Arial" w:hAnsi="Arial"/>
          <w:sz w:val="28"/>
          <w:szCs w:val="28"/>
        </w:rPr>
        <w:t>być</w:t>
      </w:r>
      <w:r>
        <w:rPr>
          <w:rFonts w:ascii="Arial" w:hAnsi="Arial"/>
          <w:sz w:val="28"/>
          <w:szCs w:val="28"/>
        </w:rPr>
        <w:t xml:space="preserve"> zapewni</w:t>
      </w:r>
      <w:r>
        <w:rPr>
          <w:rFonts w:ascii="Arial" w:hAnsi="Arial"/>
          <w:sz w:val="28"/>
          <w:szCs w:val="28"/>
        </w:rPr>
        <w:t>ony</w:t>
      </w:r>
      <w:r>
        <w:rPr>
          <w:rFonts w:ascii="Arial" w:hAnsi="Arial"/>
          <w:sz w:val="28"/>
          <w:szCs w:val="28"/>
        </w:rPr>
        <w:t xml:space="preserve"> również dostęp do aktualizacji oprogramowania oraz wsparcie techniczne w trybie 24x7. Okres gwarancji na przełączniki sieciowe stanowi kryterium oceny ofert. Wymagana gwarancja na pozostały sprzęt 24 miesiące. </w:t>
      </w:r>
    </w:p>
    <w:sectPr>
      <w:headerReference w:type="default" r:id="rId2"/>
      <w:footerReference w:type="default" r:id="rId3"/>
      <w:type w:val="nextPage"/>
      <w:pgSz w:orient="landscape" w:w="16838" w:h="11906"/>
      <w:pgMar w:left="1134" w:right="1134" w:gutter="0" w:header="567" w:top="1678" w:footer="567" w:bottom="170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360" w:before="0" w:after="160"/>
      <w:rPr>
        <w:rFonts w:ascii="Tahoma" w:hAnsi="Tahoma"/>
        <w:b w:val="false"/>
        <w:b w:val="false"/>
        <w:bCs w:val="false"/>
        <w:color w:val="000000"/>
        <w:sz w:val="20"/>
        <w:szCs w:val="20"/>
      </w:rPr>
    </w:pPr>
    <w:r>
      <w:rPr>
        <w:rFonts w:ascii="Tahoma" w:hAnsi="Tahoma"/>
        <w:b w:val="false"/>
        <w:bCs w:val="false"/>
        <w:color w:val="000000"/>
        <w:sz w:val="20"/>
        <w:szCs w:val="20"/>
      </w:rPr>
      <w:t>* - użyte nazwy własne odpowiadają typowi sprzętu oraz oprogramowania aktualnie użytkowanego przez Zamawiającego i zgodnego z posiadanym pozostałym sprzętem i oprogramowaniem.</w:t>
    </w:r>
  </w:p>
  <w:p>
    <w:pPr>
      <w:pStyle w:val="Normal"/>
      <w:spacing w:lineRule="auto" w:line="360" w:before="0" w:after="160"/>
      <w:jc w:val="right"/>
      <w:rPr>
        <w:rFonts w:ascii="Tahoma" w:hAnsi="Tahoma"/>
        <w:b w:val="false"/>
        <w:b w:val="false"/>
        <w:bCs w:val="false"/>
        <w:color w:val="000000"/>
        <w:sz w:val="20"/>
        <w:szCs w:val="20"/>
      </w:rPr>
    </w:pPr>
    <w:r>
      <w:rPr>
        <w:rFonts w:ascii="Tahoma" w:hAnsi="Tahoma"/>
        <w:b w:val="false"/>
        <w:bCs w:val="false"/>
        <w:color w:val="000000"/>
        <w:sz w:val="20"/>
        <w:szCs w:val="20"/>
      </w:rPr>
      <w:fldChar w:fldCharType="begin"/>
    </w:r>
    <w:r>
      <w:rPr>
        <w:sz w:val="20"/>
        <w:b w:val="false"/>
        <w:szCs w:val="20"/>
        <w:bCs w:val="false"/>
        <w:rFonts w:ascii="Tahoma" w:hAnsi="Tahoma"/>
        <w:color w:val="000000"/>
      </w:rPr>
      <w:instrText xml:space="preserve"> PAGE </w:instrText>
    </w:r>
    <w:r>
      <w:rPr>
        <w:sz w:val="20"/>
        <w:b w:val="false"/>
        <w:szCs w:val="20"/>
        <w:bCs w:val="false"/>
        <w:rFonts w:ascii="Tahoma" w:hAnsi="Tahoma"/>
        <w:color w:val="000000"/>
      </w:rPr>
      <w:fldChar w:fldCharType="separate"/>
    </w:r>
    <w:r>
      <w:rPr>
        <w:sz w:val="20"/>
        <w:b w:val="false"/>
        <w:szCs w:val="20"/>
        <w:bCs w:val="false"/>
        <w:rFonts w:ascii="Tahoma" w:hAnsi="Tahoma"/>
        <w:color w:val="000000"/>
      </w:rPr>
      <w:t>7</w:t>
    </w:r>
    <w:r>
      <w:rPr>
        <w:sz w:val="20"/>
        <w:b w:val="false"/>
        <w:szCs w:val="20"/>
        <w:bCs w:val="false"/>
        <w:rFonts w:ascii="Tahoma" w:hAnsi="Tahoma"/>
        <w:color w:val="000000"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widowControl/>
      <w:suppressLineNumbers/>
      <w:suppressAutoHyphens w:val="true"/>
      <w:overflowPunct w:val="true"/>
      <w:bidi w:val="0"/>
      <w:spacing w:before="0" w:after="0"/>
      <w:ind w:left="0" w:right="0" w:firstLine="2381"/>
      <w:jc w:val="left"/>
      <w:rPr/>
    </w:pPr>
    <w:r>
      <w:rPr/>
      <w:drawing>
        <wp:inline distT="0" distB="0" distL="0" distR="0">
          <wp:extent cx="5760720" cy="596900"/>
          <wp:effectExtent l="0" t="0" r="0" b="0"/>
          <wp:docPr id="1" name="Obraz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6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Gwka"/>
      <w:widowControl/>
      <w:suppressLineNumbers/>
      <w:suppressAutoHyphens w:val="true"/>
      <w:overflowPunct w:val="true"/>
      <w:bidi w:val="0"/>
      <w:spacing w:before="0" w:after="0"/>
      <w:ind w:left="0" w:right="0" w:hanging="0"/>
      <w:jc w:val="center"/>
      <w:rPr>
        <w:rFonts w:ascii="Tahoma" w:hAnsi="Tahoma"/>
        <w:sz w:val="21"/>
        <w:szCs w:val="21"/>
      </w:rPr>
    </w:pPr>
    <w:r>
      <w:rPr>
        <w:rFonts w:ascii="Tahoma" w:hAnsi="Tahoma"/>
        <w:sz w:val="21"/>
        <w:szCs w:val="21"/>
      </w:rPr>
      <w:t>Sfinansowano w ramach reakcji Unii na pandemię COVID-19</w:t>
    </w:r>
  </w:p>
  <w:p>
    <w:pPr>
      <w:pStyle w:val="Gwka"/>
      <w:widowControl/>
      <w:suppressLineNumbers/>
      <w:suppressAutoHyphens w:val="true"/>
      <w:overflowPunct w:val="true"/>
      <w:bidi w:val="0"/>
      <w:spacing w:before="0" w:after="0"/>
      <w:ind w:left="0" w:right="0" w:hanging="0"/>
      <w:jc w:val="center"/>
      <w:rPr>
        <w:rFonts w:ascii="Tahoma" w:hAnsi="Tahoma"/>
        <w:sz w:val="9"/>
        <w:szCs w:val="21"/>
      </w:rPr>
    </w:pPr>
    <w:r>
      <w:rPr>
        <w:rFonts w:ascii="Tahoma" w:hAnsi="Tahoma"/>
        <w:sz w:val="9"/>
        <w:szCs w:val="21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>
        <w:sz w:val="32"/>
        <w:rFonts w:ascii="Tahoma" w:hAnsi="Tahoma"/>
      </w:r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doNotExpandShiftReturn/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agwek1">
    <w:name w:val="Heading 1"/>
    <w:basedOn w:val="Nagwek"/>
    <w:next w:val="Tretekstu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paragraph" w:styleId="Nagwek2">
    <w:name w:val="Heading 2"/>
    <w:basedOn w:val="Nagwek"/>
    <w:next w:val="Tretekstu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paragraph" w:styleId="Nagwek3">
    <w:name w:val="Heading 3"/>
    <w:basedOn w:val="Nagwek"/>
    <w:next w:val="Tretekstu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paragraph" w:styleId="Nagwek4">
    <w:name w:val="Heading 4"/>
    <w:basedOn w:val="Nagwek"/>
    <w:next w:val="Tretekstu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paragraph" w:styleId="Nagwek5">
    <w:name w:val="Heading 5"/>
    <w:basedOn w:val="Nagwek"/>
    <w:next w:val="Tretekstu"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Nagwek6">
    <w:name w:val="Heading 6"/>
    <w:basedOn w:val="Nagwek"/>
    <w:next w:val="Tretekstu"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paragraph" w:styleId="Nagwek7">
    <w:name w:val="Heading 7"/>
    <w:basedOn w:val="Nagwek"/>
    <w:next w:val="Tretekstu"/>
    <w:qFormat/>
    <w:pPr>
      <w:numPr>
        <w:ilvl w:val="6"/>
        <w:numId w:val="1"/>
      </w:numPr>
      <w:spacing w:before="60" w:after="60"/>
      <w:outlineLvl w:val="6"/>
    </w:pPr>
    <w:rPr>
      <w:b/>
      <w:bCs/>
      <w:sz w:val="22"/>
      <w:szCs w:val="22"/>
    </w:rPr>
  </w:style>
  <w:style w:type="paragraph" w:styleId="Nagwek8">
    <w:name w:val="Heading 8"/>
    <w:basedOn w:val="Nagwek"/>
    <w:next w:val="Tretekstu"/>
    <w:qFormat/>
    <w:pPr>
      <w:numPr>
        <w:ilvl w:val="7"/>
        <w:numId w:val="1"/>
      </w:numPr>
      <w:spacing w:before="60" w:after="60"/>
      <w:outlineLvl w:val="7"/>
    </w:pPr>
    <w:rPr>
      <w:b/>
      <w:bCs/>
      <w:i/>
      <w:iCs/>
      <w:sz w:val="22"/>
      <w:szCs w:val="22"/>
    </w:rPr>
  </w:style>
  <w:style w:type="paragraph" w:styleId="Nagwek9">
    <w:name w:val="Heading 9"/>
    <w:basedOn w:val="Nagwek"/>
    <w:next w:val="Tretekstu"/>
    <w:qFormat/>
    <w:pPr>
      <w:numPr>
        <w:ilvl w:val="8"/>
        <w:numId w:val="1"/>
      </w:numPr>
      <w:spacing w:before="60" w:after="60"/>
      <w:outlineLvl w:val="8"/>
    </w:pPr>
    <w:rPr>
      <w:b/>
      <w:bCs/>
      <w:sz w:val="21"/>
      <w:szCs w:val="21"/>
    </w:rPr>
  </w:style>
  <w:style w:type="character" w:styleId="DefaultParagraphFont">
    <w:name w:val="Default Paragraph Font"/>
    <w:qFormat/>
    <w:rPr/>
  </w:style>
  <w:style w:type="character" w:styleId="Czeinternetowe">
    <w:name w:val="Hyperlink"/>
    <w:basedOn w:val="DefaultParagraphFont"/>
    <w:rPr>
      <w:color w:val="0000FF"/>
      <w:u w:val="single"/>
    </w:rPr>
  </w:style>
  <w:style w:type="character" w:styleId="Znakinumeracji">
    <w:name w:val="Znaki numeracji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Domylnaczcionkaakapitu1">
    <w:name w:val="Domyślna czcionka akapitu1"/>
    <w:qFormat/>
    <w:rPr/>
  </w:style>
  <w:style w:type="character" w:styleId="AkapitzlistZnaknormalnytekstZnakAkapitzlistZnakL1ZnakNumerowanieZnakListParagraphZnak2headingZnakAwyliczenieZnakKPodwolanieZnakAkapitzlist5ZnakmazwyliczenieZnakopisdzialaniaZnak">
    <w:name w:val="Akapit z listą Znak,normalny tekst Znak,Akapit z list¹ Znak,L1 Znak,Numerowanie Znak,List Paragraph Znak,2 heading Znak,A_wyliczenie Znak,K-P_odwolanie Znak,Akapit z listą5 Znak,maz_wyliczenie Znak,opis dzialania Znak"/>
    <w:qFormat/>
    <w:rPr>
      <w:rFonts w:eastAsia="Calibri"/>
      <w:sz w:val="26"/>
      <w:lang w:val="pl-PL" w:eastAsia="en-US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next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Gwkaistopka">
    <w:name w:val="Główka i stopka"/>
    <w:basedOn w:val="Normal"/>
    <w:qFormat/>
    <w:pPr>
      <w:suppressLineNumbers/>
      <w:tabs>
        <w:tab w:val="clear" w:pos="720"/>
        <w:tab w:val="center" w:pos="7285" w:leader="none"/>
        <w:tab w:val="right" w:pos="14570" w:leader="none"/>
      </w:tabs>
    </w:pPr>
    <w:rPr/>
  </w:style>
  <w:style w:type="paragraph" w:styleId="Stopka">
    <w:name w:val="Footer"/>
    <w:basedOn w:val="Gwkaistopka"/>
    <w:pPr>
      <w:suppressLineNumbers/>
    </w:pPr>
    <w:rPr/>
  </w:style>
  <w:style w:type="paragraph" w:styleId="Gwka">
    <w:name w:val="Header"/>
    <w:basedOn w:val="Gwkaistopka"/>
    <w:pPr>
      <w:suppressLineNumbers/>
    </w:pPr>
    <w:rPr/>
  </w:style>
  <w:style w:type="paragraph" w:styleId="Tytu">
    <w:name w:val="Title"/>
    <w:basedOn w:val="Nagwek"/>
    <w:next w:val="Tretekstu"/>
    <w:qFormat/>
    <w:pPr>
      <w:jc w:val="center"/>
    </w:pPr>
    <w:rPr>
      <w:b/>
      <w:bCs/>
      <w:sz w:val="56"/>
      <w:szCs w:val="56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10">
    <w:name w:val="Nagłówek 10"/>
    <w:basedOn w:val="Nagwek"/>
    <w:next w:val="Tretekstu"/>
    <w:qFormat/>
    <w:pPr>
      <w:numPr>
        <w:ilvl w:val="0"/>
        <w:numId w:val="0"/>
      </w:numPr>
      <w:spacing w:before="60" w:after="60"/>
      <w:outlineLvl w:val="8"/>
    </w:pPr>
    <w:rPr>
      <w:b/>
      <w:bCs/>
      <w:sz w:val="21"/>
      <w:szCs w:val="21"/>
    </w:rPr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Tekstpodstawowy31">
    <w:name w:val="Tekst podstawowy 31"/>
    <w:basedOn w:val="Normal"/>
    <w:qFormat/>
    <w:pPr/>
    <w:rPr>
      <w:b/>
      <w:sz w:val="28"/>
    </w:rPr>
  </w:style>
  <w:style w:type="paragraph" w:styleId="Default">
    <w:name w:val="Default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alibri" w:hAnsi="Calibri" w:eastAsia="NSimSun" w:cs="Lucida Sans"/>
      <w:color w:val="000000"/>
      <w:kern w:val="2"/>
      <w:sz w:val="24"/>
      <w:szCs w:val="24"/>
      <w:lang w:val="pl-PL" w:eastAsia="zh-CN" w:bidi="hi-IN"/>
    </w:rPr>
  </w:style>
  <w:style w:type="paragraph" w:styleId="Western">
    <w:name w:val="western"/>
    <w:basedOn w:val="Normal"/>
    <w:qFormat/>
    <w:pPr>
      <w:spacing w:before="280" w:after="142"/>
    </w:pPr>
    <w:rPr>
      <w:rFonts w:ascii="Liberation Serif" w:hAnsi="Liberation Serif" w:eastAsia="Times New Roman" w:cs="Liberation Serif"/>
      <w:sz w:val="24"/>
      <w:szCs w:val="24"/>
      <w:lang w:eastAsia="pl-PL"/>
    </w:rPr>
  </w:style>
  <w:style w:type="paragraph" w:styleId="NormalTable">
    <w:name w:val="Normal Table"/>
    <w:qFormat/>
    <w:pPr>
      <w:widowControl/>
      <w:suppressAutoHyphens w:val="true"/>
      <w:overflowPunct w:val="true"/>
      <w:bidi w:val="0"/>
      <w:spacing w:before="0" w:after="0"/>
      <w:jc w:val="left"/>
      <w:textAlignment w:val="auto"/>
    </w:pPr>
    <w:rPr>
      <w:rFonts w:ascii="Times New Roman" w:hAnsi="Times New Roman" w:eastAsia="Cambria Math" w:cs="Times New Roman"/>
      <w:color w:val="auto"/>
      <w:kern w:val="0"/>
      <w:sz w:val="20"/>
      <w:szCs w:val="20"/>
      <w:lang w:val="pl-PL" w:eastAsia="pl-PL" w:bidi="ar-SA"/>
    </w:rPr>
  </w:style>
  <w:style w:type="paragraph" w:styleId="ListParagraphnormalnytekstAkapitzlistL1NumerowanieListParagraph2headingAwyliczenieKPodwolanieAkapitzlist5mazwyliczenieopisdzialania">
    <w:name w:val="List Paragraph,normalny tekst,Akapit z list¹,L1,Numerowanie,List Paragraph,2 heading,A_wyliczenie,K-P_odwolanie,Akapit z listą5,maz_wyliczenie,opis dzialania"/>
    <w:basedOn w:val="Normal"/>
    <w:qFormat/>
    <w:pPr>
      <w:spacing w:before="0" w:after="0"/>
      <w:ind w:left="720" w:right="0" w:hanging="0"/>
      <w:contextualSpacing/>
      <w:jc w:val="both"/>
    </w:pPr>
    <w:rPr>
      <w:rFonts w:ascii="Times New Roman" w:hAnsi="Times New Roman" w:eastAsia="Calibri"/>
      <w:sz w:val="26"/>
      <w:szCs w:val="26"/>
      <w:lang w:eastAsia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5651</TotalTime>
  <Application>LibreOffice/7.4.0.3$Windows_X86_64 LibreOffice_project/f85e47c08ddd19c015c0114a68350214f7066f5a</Application>
  <AppVersion>15.0000</AppVersion>
  <Pages>7</Pages>
  <Words>850</Words>
  <Characters>5525</Characters>
  <CharactersWithSpaces>6325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Niedziela</dc:creator>
  <dc:description/>
  <dc:language>pl-PL</dc:language>
  <cp:lastModifiedBy/>
  <cp:lastPrinted>2023-01-02T10:38:24Z</cp:lastPrinted>
  <dcterms:modified xsi:type="dcterms:W3CDTF">2023-01-03T15:50:19Z</dcterms:modified>
  <cp:revision>204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8FE3CCE5264343C3A55AAC74AB98C423</vt:lpwstr>
  </property>
  <property fmtid="{D5CDD505-2E9C-101B-9397-08002B2CF9AE}" pid="3" name="KSOProductBuildVer">
    <vt:lpwstr>1045-11.2.0.11156</vt:lpwstr>
  </property>
</Properties>
</file>