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retekstu"/>
        <w:spacing w:lineRule="auto" w:line="276"/>
        <w:jc w:val="left"/>
        <w:rPr>
          <w:rFonts w:ascii="Calibri" w:hAnsi="Calibri" w:cs="Calibri"/>
          <w:b w:val="false"/>
          <w:b w:val="false"/>
          <w:sz w:val="20"/>
          <w:szCs w:val="20"/>
        </w:rPr>
      </w:pPr>
      <w:r>
        <w:rPr>
          <w:rFonts w:cs="Calibri" w:ascii="Calibri" w:hAnsi="Calibri"/>
          <w:b w:val="false"/>
          <w:sz w:val="20"/>
          <w:szCs w:val="20"/>
        </w:rPr>
      </w:r>
    </w:p>
    <w:p>
      <w:pPr>
        <w:pStyle w:val="Tytu"/>
        <w:spacing w:lineRule="auto" w:line="360"/>
        <w:jc w:val="right"/>
        <w:rPr>
          <w:rFonts w:ascii="Calibri" w:hAnsi="Calibri" w:cs="Calibri"/>
          <w:b w:val="false"/>
          <w:b w:val="false"/>
          <w:bCs w:val="false"/>
          <w:sz w:val="24"/>
          <w:szCs w:val="24"/>
        </w:rPr>
      </w:pPr>
      <w:r>
        <w:rPr>
          <w:rFonts w:cs="Calibri" w:ascii="Calibri" w:hAnsi="Calibri"/>
          <w:b w:val="false"/>
          <w:bCs w:val="false"/>
          <w:sz w:val="24"/>
          <w:szCs w:val="24"/>
        </w:rPr>
        <w:t>Załącznik nr 1 do  Formularza ofertowego</w:t>
      </w:r>
    </w:p>
    <w:p>
      <w:pPr>
        <w:pStyle w:val="Tytu"/>
        <w:spacing w:lineRule="auto" w:line="360"/>
        <w:jc w:val="center"/>
        <w:rPr>
          <w:sz w:val="36"/>
          <w:szCs w:val="32"/>
        </w:rPr>
      </w:pPr>
      <w:r>
        <w:rPr>
          <w:rFonts w:cs="Calibri" w:ascii="Calibri" w:hAnsi="Calibri"/>
          <w:b/>
          <w:bCs/>
          <w:sz w:val="36"/>
          <w:szCs w:val="32"/>
        </w:rPr>
        <w:t xml:space="preserve">Formularz </w:t>
      </w:r>
      <w:r>
        <w:rPr>
          <w:rFonts w:eastAsia="Microsoft YaHei" w:cs="Calibri" w:ascii="Calibri" w:hAnsi="Calibri"/>
          <w:b/>
          <w:bCs/>
          <w:color w:val="auto"/>
          <w:kern w:val="2"/>
          <w:sz w:val="36"/>
          <w:szCs w:val="32"/>
          <w:lang w:val="pl-PL" w:eastAsia="zh-CN" w:bidi="hi-IN"/>
        </w:rPr>
        <w:t>cenowy</w:t>
      </w:r>
    </w:p>
    <w:p>
      <w:pPr>
        <w:pStyle w:val="Tretekstu"/>
        <w:widowControl/>
        <w:suppressAutoHyphens w:val="true"/>
        <w:bidi w:val="0"/>
        <w:spacing w:lineRule="auto" w:line="360" w:before="0" w:after="0"/>
        <w:ind w:left="-964" w:right="-850" w:hanging="0"/>
        <w:jc w:val="left"/>
        <w:rPr>
          <w:rFonts w:ascii="Calibri" w:hAnsi="Calibri" w:cs="Calibri"/>
          <w:b w:val="false"/>
          <w:b w:val="false"/>
          <w:sz w:val="28"/>
          <w:szCs w:val="20"/>
        </w:rPr>
      </w:pPr>
      <w:r>
        <w:rPr>
          <w:rFonts w:cs="Calibri" w:ascii="Calibri" w:hAnsi="Calibri"/>
          <w:b w:val="false"/>
          <w:sz w:val="28"/>
          <w:szCs w:val="20"/>
        </w:rPr>
        <w:t>Przełącznik sieciowy (model, typ) …………………………………………………………………………………………………………………………………………………….……..</w:t>
      </w:r>
    </w:p>
    <w:tbl>
      <w:tblPr>
        <w:tblW w:w="16048" w:type="dxa"/>
        <w:jc w:val="left"/>
        <w:tblInd w:w="-108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350"/>
        <w:gridCol w:w="1823"/>
        <w:gridCol w:w="3623"/>
        <w:gridCol w:w="623"/>
        <w:gridCol w:w="969"/>
        <w:gridCol w:w="1478"/>
        <w:gridCol w:w="1526"/>
        <w:gridCol w:w="3974"/>
      </w:tblGrid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Lp.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  <w:shd w:fill="auto" w:val="clear"/>
              </w:rPr>
              <w:t>Typ -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  <w:shd w:fill="auto" w:val="clear"/>
              </w:rPr>
              <w:t>asortyment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Parametr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Wymagane minimalne parametry techniczne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szt.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Cena jedn. netto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Wartość netto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kol. (5) x kol. (6)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Oferowane parametry techniczne</w:t>
            </w:r>
          </w:p>
        </w:tc>
      </w:tr>
      <w:tr>
        <w:trPr/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(1)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  <w:shd w:fill="auto" w:val="clear"/>
              </w:rPr>
              <w:t>(2)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(3)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(4)</w:t>
            </w:r>
          </w:p>
        </w:tc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(5)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(6)</w:t>
            </w:r>
          </w:p>
        </w:tc>
        <w:tc>
          <w:tcPr>
            <w:tcW w:w="1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(7)</w:t>
            </w: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(8)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(9)</w:t>
            </w:r>
          </w:p>
        </w:tc>
      </w:tr>
      <w:tr>
        <w:trPr>
          <w:trHeight w:val="567" w:hRule="atLeast"/>
        </w:trPr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1.</w:t>
            </w:r>
          </w:p>
        </w:tc>
        <w:tc>
          <w:tcPr>
            <w:tcW w:w="1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Przełącznik sieciowy</w:t>
            </w:r>
          </w:p>
        </w:tc>
        <w:tc>
          <w:tcPr>
            <w:tcW w:w="140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/>
                <w:b w:val="false"/>
                <w:b w:val="false"/>
                <w:bCs w:val="false"/>
                <w:sz w:val="4"/>
                <w:szCs w:val="20"/>
              </w:rPr>
            </w:pPr>
            <w:r>
              <w:rPr>
                <w:rFonts w:ascii="Calibri" w:hAnsi="Calibri"/>
                <w:b w:val="false"/>
                <w:bCs w:val="false"/>
                <w:sz w:val="4"/>
                <w:szCs w:val="20"/>
              </w:rPr>
            </w:r>
          </w:p>
          <w:p>
            <w:pPr>
              <w:pStyle w:val="Tekstpodstawowy31"/>
              <w:widowControl w:val="false"/>
              <w:suppressAutoHyphens w:val="true"/>
              <w:spacing w:lineRule="auto" w:line="276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4"/>
                <w:szCs w:val="24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4"/>
                <w:szCs w:val="24"/>
                <w:lang w:val="pl-PL" w:eastAsia="zh-CN" w:bidi="hi-IN"/>
              </w:rPr>
              <w:t>Producent, model ……………………………………………………………………………………………………………………………………………………………………………………...…...</w:t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3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 xml:space="preserve">Interfejsy sieciowe 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  <w:tab w:val="left" w:pos="30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Wymaganym jest aby przełącznik dysponował niezależnymi interfejsami sieciowymi (nie dopuszcza się portów typu combo) w ilości: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0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48 portów GE RJ-45., w tym porty PoE w ilości co najmniej: 48, zgodne ze standardem: 802.3 af oraz 802.3 at.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0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4 porty 10 GE SFP+</w:t>
            </w:r>
          </w:p>
        </w:tc>
        <w:tc>
          <w:tcPr>
            <w:tcW w:w="62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6</w:t>
            </w:r>
          </w:p>
        </w:tc>
        <w:tc>
          <w:tcPr>
            <w:tcW w:w="9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3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Zarządzanie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Dedykowany 1 interfejs Ethernet RJ-45 do zarządzania.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Wbudowany 1 port konsoli szeregowej do pełnego zarządzania.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Zarządzanie przez: command line (w tym poprzez SSH) oraz poprzez graficzny interfejs z wykorzystaniem przeglądarki (HTTPS).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Wsparcie dla SNMP w wersjach 1, 2, 3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Funkcja zarządzania poprzez dedykowany kontroler przełączników lub system zarządzania, pozwalający na  automatyczne wykrywanie, centralne konfigurowanie oraz zarządzanie przełącznikami.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Funkcja aktualizacji oprogramowania przez TFTP/FTP oraz za pomocą GUI.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Konfiguracja w formie pliku tekstowego umożliwiającego edycję konfiguracji offline.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Funkcja backupu konfiguracji z poziomu GUI jak również z CLI (TFTP/FTP).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Funkcja definiowania administratorów lokalnie oraz wykorzystanie w tym celu z serwerów Radius i TACACS+.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Funkcja definiowania ról administratorów przydzielających tryb dostępu (brak, tylko odczyt, odczyt oraz modyfikacja) do wybranych części konfiguracji.</w:t>
            </w:r>
          </w:p>
        </w:tc>
        <w:tc>
          <w:tcPr>
            <w:tcW w:w="6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9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4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3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Parametry wydajnościowe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Tahoma" w:hAnsi="Tahoma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Tahoma" w:hAnsi="Tahoma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Tahoma" w:hAnsi="Tahoma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Przepustowość urządzenia - min. 100 Gbps (pełna prędkość, tzw. wire-speed na wszystkich portach) oraz min.150 Mpps.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Tahoma" w:hAnsi="Tahoma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Tahoma" w:hAnsi="Tahoma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Tahoma" w:hAnsi="Tahoma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Tablica adresów MAC o pojemności co najmniej 16 k wpisów.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Tahoma" w:hAnsi="Tahoma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Tahoma" w:hAnsi="Tahoma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Tahoma" w:hAnsi="Tahoma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Opóźnienie wprowadzane przez przełącznik - poniżej 1 mikrosekund.</w:t>
            </w:r>
          </w:p>
        </w:tc>
        <w:tc>
          <w:tcPr>
            <w:tcW w:w="6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9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4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3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Wymagane funkcje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Funkcja automatycznej negocjacji prędkości i duplexu dla połączeń.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Obsługa Jumbo Frames.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Obsługa 802.1d (Spanning Tree), 802.1w (Rapid Spanning Tree), 802.1s (Multiple Spanning Tree).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Agregacja portów zgodna ze standardem 802.3ad.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Obsługa co najmniej 4000 VLAN-ów, zgodna ze standardem 802.1Q.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Wsparcie dla Private VLAN.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Obsługa routingu statycznego.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Obsługa Quality of Service, w tym zakresie: 802.1p oraz DSCP.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Port-mirroring.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shd w:fill="auto" w:val="clear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shd w:fill="auto" w:val="clear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shd w:fill="auto" w:val="clear"/>
                <w:lang w:val="pl-PL" w:eastAsia="zh-CN" w:bidi="hi-IN"/>
              </w:rPr>
              <w:tab/>
              <w:t>Uwierzytelnianie 802.1x na poziomie portu.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shd w:fill="auto" w:val="clear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shd w:fill="auto" w:val="clear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shd w:fill="auto" w:val="clear"/>
                <w:lang w:val="pl-PL" w:eastAsia="zh-CN" w:bidi="hi-IN"/>
              </w:rPr>
              <w:tab/>
              <w:t>Uwierzytelnianie 802.1x w oparciu o  adres MAC.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W ramach 802.1x wsparcie dla dedykowanego VLANu dla gości (guest VLAN).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W ramach 802.1x wsparcie dla  urządzeń, które nie obsługują tego protokołu, na podstawie adresu MAC urządzenia.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W ramach 802.1x  wsparcie dla dynamicznego przypisywania VLAN.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9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Obsługa protokołu sFlow.</w:t>
            </w:r>
          </w:p>
        </w:tc>
        <w:tc>
          <w:tcPr>
            <w:tcW w:w="6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9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4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3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retekstu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Dodatkowe funkcje urządzenia przy integracji z systemem centralnego zarządzania / NAC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  <w:tab w:val="left" w:pos="36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 xml:space="preserve">Przełączniki muszą wspierać tryb pracy, w którym są zarządzane przez fizyczny element nadrzędny (przełącznik lub dedykowany kontroler tzw. port extender lub element leaf w architekturze spine-leaf). Zakres zarządzania przez element nadrzędny musi zawierać co najmniej: 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6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Funkcja uruchomienia Captive Portalu w celu identyfikacji użytkowników.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6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 xml:space="preserve">Centralne zarządzanie sieciami VLAN. 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6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Rozpoznawanie urządzeń uzyskujących dostęp do sieci.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6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Obsługa białych i czarnych list adresów MAC.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6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>Wykrywanie aplikacji komunikujących się w sieci.</w:t>
            </w:r>
          </w:p>
          <w:p>
            <w:pPr>
              <w:pStyle w:val="Zawartotabeli"/>
              <w:widowControl w:val="false"/>
              <w:tabs>
                <w:tab w:val="clear" w:pos="708"/>
                <w:tab w:val="left" w:pos="360" w:leader="none"/>
              </w:tabs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•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ab/>
              <w:t xml:space="preserve">W przypadku gdy do uruchomienia na przełączniku w/w funkcji, polegających na integracji z systemem centralnego zarządzania lub NAC wymagane są licencje, 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muszą być one dostarczone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 xml:space="preserve"> .</w:t>
            </w:r>
          </w:p>
        </w:tc>
        <w:tc>
          <w:tcPr>
            <w:tcW w:w="6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9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4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3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retekstu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Gwarancja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 xml:space="preserve">Przełącznik sieciowy musi być objęty serwisem gwarancyjnym 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shd w:fill="auto" w:val="clear"/>
                <w:lang w:val="pl-PL" w:eastAsia="zh-CN" w:bidi="hi-IN"/>
              </w:rPr>
              <w:t xml:space="preserve">przez okres wskazany w kryteriach oceny ofert, 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 xml:space="preserve">polegającym na naprawie lub wymianie urządzenia w przypadku jego wadliwości. W ramach tego serwisu musi 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 xml:space="preserve">być 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zapewni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ony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 xml:space="preserve"> również dostęp do aktualizacji oprogramowania oraz wsparcie techniczne w trybie 24x7. Okres gwarancji stanowi kryterium oceny ofert.</w:t>
            </w:r>
          </w:p>
        </w:tc>
        <w:tc>
          <w:tcPr>
            <w:tcW w:w="6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9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4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16046" w:type="dxa"/>
            <w:gridSpan w:val="9"/>
            <w:tcBorders/>
            <w:tcMar>
              <w:top w:w="55" w:type="dxa"/>
              <w:bottom w:w="55" w:type="dxa"/>
            </w:tcMar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/>
                <w:b w:val="false"/>
                <w:b w:val="false"/>
                <w:bCs w:val="false"/>
              </w:rPr>
            </w:pPr>
            <w:r>
              <w:rPr>
                <w:rFonts w:ascii="Calibri" w:hAnsi="Calibri"/>
                <w:b w:val="false"/>
                <w:bCs w:val="false"/>
              </w:rPr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/>
                <w:b w:val="false"/>
                <w:b w:val="false"/>
                <w:bCs w:val="false"/>
              </w:rPr>
            </w:pPr>
            <w:r>
              <w:rPr>
                <w:rFonts w:ascii="Calibri" w:hAnsi="Calibri"/>
                <w:b w:val="false"/>
                <w:bCs w:val="false"/>
              </w:rPr>
              <w:t>Moduł sieciowy: (model, typ) ……………………………………………………………………………………………………………………………………………………….……….…….</w:t>
            </w:r>
          </w:p>
        </w:tc>
      </w:tr>
      <w:tr>
        <w:trPr>
          <w:trHeight w:val="567" w:hRule="atLeast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2.</w:t>
            </w:r>
          </w:p>
        </w:tc>
        <w:tc>
          <w:tcPr>
            <w:tcW w:w="3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retekstu"/>
              <w:widowControl w:val="false"/>
              <w:suppressAutoHyphens w:val="true"/>
              <w:spacing w:lineRule="auto" w:line="360" w:before="0" w:after="160"/>
              <w:jc w:val="left"/>
              <w:rPr>
                <w:rFonts w:ascii="Arial" w:hAnsi="Arial"/>
                <w:b/>
                <w:b/>
                <w:bCs/>
                <w:sz w:val="28"/>
                <w:szCs w:val="28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Moduł sieciowy: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10GE SFP+ transceiver module short range for all systems with SFP+ and SFP/SFP+ slots – 4 sztuki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Wymagany okres gwarancji 24 miesiące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4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16046" w:type="dxa"/>
            <w:gridSpan w:val="9"/>
            <w:tcBorders/>
            <w:tcMar>
              <w:top w:w="55" w:type="dxa"/>
              <w:bottom w:w="55" w:type="dxa"/>
            </w:tcMar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/>
                <w:b w:val="false"/>
                <w:b w:val="false"/>
                <w:bCs w:val="false"/>
              </w:rPr>
            </w:pPr>
            <w:r>
              <w:rPr>
                <w:rFonts w:ascii="Calibri" w:hAnsi="Calibri"/>
                <w:b w:val="false"/>
                <w:bCs w:val="false"/>
              </w:rPr>
              <w:t>Moduł sieciowy: (model, typ) …………………………………………………………………………………………………………………………………………………….………………..</w:t>
            </w:r>
          </w:p>
        </w:tc>
      </w:tr>
      <w:tr>
        <w:trPr>
          <w:trHeight w:val="567" w:hRule="atLeast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bookmarkStart w:id="0" w:name="_GoBack2"/>
            <w:bookmarkEnd w:id="0"/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3.</w:t>
            </w:r>
          </w:p>
        </w:tc>
        <w:tc>
          <w:tcPr>
            <w:tcW w:w="3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retekstu"/>
              <w:widowControl w:val="false"/>
              <w:suppressAutoHyphens w:val="true"/>
              <w:spacing w:lineRule="auto" w:line="360" w:before="0" w:after="160"/>
              <w:jc w:val="left"/>
              <w:rPr>
                <w:rFonts w:ascii="Arial" w:hAnsi="Arial"/>
                <w:b/>
                <w:b/>
                <w:bCs/>
                <w:sz w:val="28"/>
                <w:szCs w:val="28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Moduł sieciowy: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10GE SFP+ transceiver module long range for all systems with SFP+ and SFP/SFP+ slots – 2 sztuki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Wymagany okres gwarancji 24 miesiące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2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9068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sz w:val="8"/>
                <w:szCs w:val="28"/>
              </w:rPr>
            </w:pPr>
            <w:r>
              <w:rPr>
                <w:sz w:val="8"/>
                <w:szCs w:val="28"/>
              </w:rPr>
            </w:r>
          </w:p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8"/>
                <w:szCs w:val="28"/>
              </w:rPr>
            </w:pPr>
            <w:r>
              <w:rPr>
                <w:rFonts w:cs="Calibri" w:ascii="Calibri" w:hAnsi="Calibri"/>
                <w:b/>
                <w:bCs/>
                <w:sz w:val="28"/>
                <w:szCs w:val="28"/>
              </w:rPr>
              <w:t>Suma brutto (łączna wartość)</w:t>
            </w:r>
          </w:p>
        </w:tc>
        <w:tc>
          <w:tcPr>
            <w:tcW w:w="697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</w:tr>
    </w:tbl>
    <w:p>
      <w:pPr>
        <w:pStyle w:val="Tekstpodstawowy31"/>
        <w:spacing w:lineRule="auto" w:line="276"/>
        <w:jc w:val="left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Tekstpodstawowy31"/>
        <w:spacing w:lineRule="auto" w:line="276"/>
        <w:ind w:left="720" w:right="0" w:hanging="0"/>
        <w:rPr>
          <w:rFonts w:ascii="Calibri" w:hAnsi="Calibri" w:cs="Calibri"/>
          <w:color w:val="000000"/>
          <w:sz w:val="26"/>
          <w:szCs w:val="26"/>
        </w:rPr>
      </w:pPr>
      <w:r>
        <w:rPr>
          <w:rFonts w:cs="Calibri" w:ascii="Calibri" w:hAnsi="Calibri"/>
          <w:color w:val="000000"/>
          <w:sz w:val="26"/>
          <w:szCs w:val="26"/>
        </w:rPr>
        <w:t>Uwaga: w przypadku rozbieżności w zadeklarowanym okresie gwarancji pomiędzy Formularzem ofertowym a Formularzem cenowym wiążący dla Wykonawcy będzie okres gwarancji zadeklarowany w Formularzu ofertowym.</w:t>
      </w:r>
    </w:p>
    <w:p>
      <w:pPr>
        <w:pStyle w:val="Tekstpodstawowy31"/>
        <w:spacing w:lineRule="auto" w:line="276"/>
        <w:ind w:left="720" w:right="0" w:hanging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spacing w:lineRule="auto" w:line="360" w:before="0" w:after="160"/>
        <w:ind w:left="720" w:right="0" w:hanging="0"/>
        <w:rPr>
          <w:rFonts w:ascii="Calibri" w:hAnsi="Calibri" w:eastAsia="Times New Roman" w:cs="Calibri"/>
          <w:b w:val="false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  <w:t>* - użyte nazwy własne odpowiadają typowi sprzętu oraz oprogramowania aktualnie użytkowanego przez Zamawiającego i zgodnego z posiadanym pozostałym sprzętem i oprogramowaniem.</w:t>
      </w:r>
    </w:p>
    <w:p>
      <w:pPr>
        <w:pStyle w:val="Normal"/>
        <w:widowControl/>
        <w:suppressAutoHyphens w:val="true"/>
        <w:overflowPunct w:val="true"/>
        <w:bidi w:val="0"/>
        <w:spacing w:lineRule="auto" w:line="360" w:before="0" w:after="160"/>
        <w:ind w:left="720" w:right="0" w:hanging="0"/>
        <w:jc w:val="left"/>
        <w:rPr>
          <w:rFonts w:ascii="Calibri" w:hAnsi="Calibri" w:eastAsia="Times New Roman" w:cs="Calibri"/>
          <w:b w:val="false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  <w:t>Nie spełnienie chociażby jednego z wymaganych parametrów skutkować będzie odrzuceniem oferty, jak również nie określenie (nie wpisanie) określonych parametrów technicznych w poszczególnych punktach tabeli skutkować może odrzuceniem oferty w przypadku gdy nie będzie można jednoznacznie stwierdzić zgodności oferowanego sprzętu z określonymi w SWZ wymogami.</w:t>
      </w:r>
    </w:p>
    <w:p>
      <w:pPr>
        <w:pStyle w:val="Normal"/>
        <w:widowControl/>
        <w:suppressAutoHyphens w:val="true"/>
        <w:overflowPunct w:val="true"/>
        <w:bidi w:val="0"/>
        <w:spacing w:lineRule="auto" w:line="360" w:before="0" w:after="160"/>
        <w:ind w:left="720" w:right="0" w:hanging="0"/>
        <w:jc w:val="left"/>
        <w:rPr>
          <w:rFonts w:ascii="Calibri" w:hAnsi="Calibri" w:eastAsia="Times New Roman" w:cs="Calibri"/>
          <w:b w:val="false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</w:r>
    </w:p>
    <w:p>
      <w:pPr>
        <w:pStyle w:val="Normal"/>
        <w:widowControl/>
        <w:suppressAutoHyphens w:val="true"/>
        <w:overflowPunct w:val="true"/>
        <w:bidi w:val="0"/>
        <w:spacing w:lineRule="auto" w:line="360" w:before="0" w:after="160"/>
        <w:ind w:left="737" w:right="0" w:firstLine="6633"/>
        <w:jc w:val="left"/>
        <w:rPr>
          <w:rFonts w:ascii="Calibri" w:hAnsi="Calibri" w:eastAsia="Times New Roman" w:cs="Calibri"/>
          <w:b w:val="false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  <w:t>……………………………………………………………………</w:t>
      </w: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lineRule="auto" w:line="360" w:before="0" w:after="160"/>
        <w:ind w:left="7370" w:right="0" w:hanging="0"/>
        <w:jc w:val="left"/>
        <w:rPr/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  <w:t>Podpis(y) osób uprawnionych do składania oświadczeń woli w imieniu Wykonawcy  (</w:t>
      </w:r>
      <w:bookmarkStart w:id="1" w:name="_Hlk102639179"/>
      <w:r>
        <w:rPr>
          <w:rFonts w:eastAsia="Times New Roman" w:cs="Calibri" w:ascii="Calibri" w:hAnsi="Calibri"/>
          <w:b w:val="false"/>
          <w:bCs w:val="false"/>
          <w:i/>
          <w:color w:val="auto"/>
          <w:kern w:val="0"/>
          <w:sz w:val="26"/>
          <w:szCs w:val="26"/>
          <w:lang w:val="pl-PL" w:eastAsia="zh-CN" w:bidi="ar-SA"/>
        </w:rPr>
        <w:t xml:space="preserve">kwalifikowany podpis elektroniczny </w:t>
      </w:r>
      <w:bookmarkEnd w:id="1"/>
      <w:r>
        <w:rPr>
          <w:rFonts w:eastAsia="Times New Roman" w:cs="Calibri" w:ascii="Calibri" w:hAnsi="Calibri"/>
          <w:b w:val="false"/>
          <w:bCs w:val="false"/>
          <w:i/>
          <w:color w:val="auto"/>
          <w:kern w:val="0"/>
          <w:sz w:val="26"/>
          <w:szCs w:val="26"/>
          <w:lang w:val="pl-PL" w:eastAsia="zh-CN" w:bidi="ar-SA"/>
        </w:rPr>
        <w:t>)</w:t>
      </w:r>
    </w:p>
    <w:sectPr>
      <w:headerReference w:type="default" r:id="rId2"/>
      <w:footerReference w:type="default" r:id="rId3"/>
      <w:type w:val="nextPage"/>
      <w:pgSz w:orient="landscape" w:w="16838" w:h="11906"/>
      <w:pgMar w:left="1418" w:right="1418" w:gutter="0" w:header="1418" w:top="1475" w:footer="709" w:bottom="76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Wingdings">
    <w:charset w:val="ee"/>
    <w:family w:val="roman"/>
    <w:pitch w:val="variable"/>
  </w:font>
  <w:font w:name="Symbol">
    <w:charset w:val="ee"/>
    <w:family w:val="roman"/>
    <w:pitch w:val="variable"/>
  </w:font>
  <w:font w:name="Tahoma">
    <w:charset w:val="ee"/>
    <w:family w:val="roman"/>
    <w:pitch w:val="variable"/>
  </w:font>
  <w:font w:name="Courier New"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roman"/>
    <w:pitch w:val="variable"/>
  </w:font>
  <w:font w:name="Calibri">
    <w:charset w:val="ee"/>
    <w:family w:val="roman"/>
    <w:pitch w:val="variable"/>
  </w:font>
  <w:font w:name="ArialMT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ind w:left="0" w:right="360" w:hanging="0"/>
      <w:rPr/>
    </w:pPr>
    <w:r>
      <w:rPr/>
      <mc:AlternateContent>
        <mc:Choice Requires="wps">
          <w:drawing>
            <wp:anchor behindDoc="0" distT="0" distB="635" distL="0" distR="0" simplePos="0" locked="0" layoutInCell="0" allowOverlap="1" relativeHeight="18">
              <wp:simplePos x="0" y="0"/>
              <wp:positionH relativeFrom="column">
                <wp:posOffset>8408035</wp:posOffset>
              </wp:positionH>
              <wp:positionV relativeFrom="paragraph">
                <wp:posOffset>88900</wp:posOffset>
              </wp:positionV>
              <wp:extent cx="549910" cy="396875"/>
              <wp:effectExtent l="0" t="635" r="0" b="0"/>
              <wp:wrapSquare wrapText="largest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50080" cy="396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jc w:val="right"/>
                            <w:rPr/>
                          </w:pPr>
                          <w:r>
                            <w:rPr>
                              <w:rStyle w:val="Numerstron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umerstron"/>
                              <w:color w:val="000000"/>
                            </w:rPr>
                            <w:t>6</w:t>
                          </w:r>
                          <w:r>
                            <w:rPr>
                              <w:rStyle w:val="Numerstron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1800" rIns="1800" tIns="1800" bIns="18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path="m0,0l-2147483645,0l-2147483645,-2147483646l0,-2147483646xe" stroked="f" o:allowincell="f" style="position:absolute;margin-left:662.05pt;margin-top:7pt;width:43.25pt;height:31.2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opka"/>
                      <w:jc w:val="right"/>
                      <w:rPr/>
                    </w:pPr>
                    <w:r>
                      <w:rPr>
                        <w:rStyle w:val="Numerstron"/>
                        <w:color w:val="000000"/>
                      </w:rPr>
                      <w:fldChar w:fldCharType="begin"/>
                    </w:r>
                    <w:r>
                      <w:rPr>
                        <w:rStyle w:val="Numerstron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Numerstron"/>
                        <w:color w:val="000000"/>
                      </w:rPr>
                      <w:fldChar w:fldCharType="separate"/>
                    </w:r>
                    <w:r>
                      <w:rPr>
                        <w:rStyle w:val="Numerstron"/>
                        <w:color w:val="000000"/>
                      </w:rPr>
                      <w:t>6</w:t>
                    </w:r>
                    <w:r>
                      <w:rPr>
                        <w:rStyle w:val="Numerstron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>
        <w:rFonts w:ascii="ArialMT" w:hAnsi="ArialMT"/>
        <w:sz w:val="20"/>
        <w:lang w:val="pl-PL" w:eastAsia="pl-PL"/>
      </w:rPr>
    </w:pPr>
    <w:r>
      <w:drawing>
        <wp:anchor behindDoc="0" distT="0" distB="0" distL="114935" distR="114935" simplePos="0" locked="0" layoutInCell="0" allowOverlap="1" relativeHeight="7">
          <wp:simplePos x="0" y="0"/>
          <wp:positionH relativeFrom="margin">
            <wp:align>center</wp:align>
          </wp:positionH>
          <wp:positionV relativeFrom="margin">
            <wp:posOffset>-938530</wp:posOffset>
          </wp:positionV>
          <wp:extent cx="5759450" cy="594995"/>
          <wp:effectExtent l="0" t="0" r="0" b="0"/>
          <wp:wrapTopAndBottom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" t="-118" r="-12" b="-118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94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MT" w:hAnsi="ArialMT"/>
        <w:sz w:val="20"/>
        <w:lang w:val="pl-PL" w:eastAsia="pl-PL"/>
      </w:rPr>
      <w:t>Sfinansowano w ramach reakcji Unii na pandemię COVID-19</w:t>
    </w:r>
  </w:p>
  <w:p>
    <w:pPr>
      <w:pStyle w:val="Normal"/>
      <w:jc w:val="center"/>
      <w:rPr>
        <w:sz w:val="12"/>
        <w:szCs w:val="12"/>
      </w:rPr>
    </w:pPr>
    <w:r>
      <w:rPr>
        <w:sz w:val="12"/>
        <w:szCs w:val="12"/>
      </w:rPr>
    </w:r>
  </w:p>
</w:hd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doNotExpandShiftReturn/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zh-CN" w:bidi="ar-SA"/>
    </w:rPr>
  </w:style>
  <w:style w:type="paragraph" w:styleId="Nagwek1">
    <w:name w:val="Heading 1"/>
    <w:basedOn w:val="Normal"/>
    <w:next w:val="Normal"/>
    <w:qFormat/>
    <w:pPr>
      <w:keepNext w:val="true"/>
      <w:ind w:left="1416" w:right="0" w:firstLine="708"/>
      <w:jc w:val="center"/>
      <w:outlineLvl w:val="0"/>
    </w:pPr>
    <w:rPr>
      <w:b/>
      <w:sz w:val="32"/>
    </w:rPr>
  </w:style>
  <w:style w:type="paragraph" w:styleId="Nagwek4">
    <w:name w:val="Heading 4"/>
    <w:basedOn w:val="Normal"/>
    <w:next w:val="Normal"/>
    <w:qFormat/>
    <w:pPr>
      <w:keepNext w:val="true"/>
      <w:tabs>
        <w:tab w:val="clear" w:pos="708"/>
        <w:tab w:val="left" w:pos="720" w:leader="none"/>
      </w:tabs>
      <w:ind w:left="720" w:right="0" w:hanging="720"/>
      <w:jc w:val="both"/>
      <w:outlineLvl w:val="3"/>
    </w:pPr>
    <w:rPr>
      <w:b/>
      <w:sz w:val="28"/>
    </w:rPr>
  </w:style>
  <w:style w:type="paragraph" w:styleId="Nagwek7">
    <w:name w:val="Heading 7"/>
    <w:basedOn w:val="Normal"/>
    <w:next w:val="Normal"/>
    <w:qFormat/>
    <w:pPr>
      <w:spacing w:before="240" w:after="60"/>
      <w:outlineLvl w:val="6"/>
    </w:pPr>
    <w:rPr>
      <w:sz w:val="24"/>
      <w:szCs w:val="24"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>
      <w:rFonts w:ascii="Wingdings" w:hAnsi="Wingdings" w:cs="Wingdings"/>
    </w:rPr>
  </w:style>
  <w:style w:type="character" w:styleId="WW8Num2z0">
    <w:name w:val="WW8Num2z0"/>
    <w:qFormat/>
    <w:rPr>
      <w:rFonts w:ascii="Wingdings" w:hAnsi="Wingdings" w:cs="Wingdings"/>
    </w:rPr>
  </w:style>
  <w:style w:type="character" w:styleId="WW8Num4z0">
    <w:name w:val="WW8Num4z0"/>
    <w:qFormat/>
    <w:rPr>
      <w:rFonts w:ascii="Symbol" w:hAnsi="Symbol" w:cs="Symbol"/>
      <w:sz w:val="20"/>
    </w:rPr>
  </w:style>
  <w:style w:type="character" w:styleId="WW8Num4z1">
    <w:name w:val="WW8Num4z1"/>
    <w:qFormat/>
    <w:rPr>
      <w:rFonts w:ascii="Tahoma" w:hAnsi="Tahoma" w:cs="Tahoma"/>
      <w:sz w:val="22"/>
    </w:rPr>
  </w:style>
  <w:style w:type="character" w:styleId="WW8Num7z0">
    <w:name w:val="WW8Num7z0"/>
    <w:qFormat/>
    <w:rPr>
      <w:rFonts w:ascii="Symbol" w:hAnsi="Symbol" w:cs="Symbol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8z0">
    <w:name w:val="WW8Num8z0"/>
    <w:qFormat/>
    <w:rPr>
      <w:rFonts w:ascii="Symbol" w:hAnsi="Symbol" w:cs="Symbol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9z0">
    <w:name w:val="WW8Num9z0"/>
    <w:qFormat/>
    <w:rPr>
      <w:rFonts w:ascii="Symbol" w:hAnsi="Symbol" w:cs="Symbol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10z0">
    <w:name w:val="WW8Num10z0"/>
    <w:qFormat/>
    <w:rPr>
      <w:rFonts w:ascii="Courier New" w:hAnsi="Courier New" w:cs="Courier New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0z3">
    <w:name w:val="WW8Num10z3"/>
    <w:qFormat/>
    <w:rPr>
      <w:rFonts w:ascii="Symbol" w:hAnsi="Symbol" w:cs="Symbol"/>
    </w:rPr>
  </w:style>
  <w:style w:type="character" w:styleId="WW8Num11z0">
    <w:name w:val="WW8Num11z0"/>
    <w:qFormat/>
    <w:rPr/>
  </w:style>
  <w:style w:type="character" w:styleId="WW8Num11z1">
    <w:name w:val="WW8Num11z1"/>
    <w:qFormat/>
    <w:rPr>
      <w:rFonts w:ascii="Courier New" w:hAnsi="Courier New" w:cs="Courier New"/>
    </w:rPr>
  </w:style>
  <w:style w:type="character" w:styleId="WW8Num11z2">
    <w:name w:val="WW8Num11z2"/>
    <w:qFormat/>
    <w:rPr>
      <w:rFonts w:ascii="Wingdings" w:hAnsi="Wingdings" w:cs="Wingdings"/>
    </w:rPr>
  </w:style>
  <w:style w:type="character" w:styleId="WW8Num11z3">
    <w:name w:val="WW8Num11z3"/>
    <w:qFormat/>
    <w:rPr>
      <w:rFonts w:ascii="Symbol" w:hAnsi="Symbol" w:cs="Symbol"/>
    </w:rPr>
  </w:style>
  <w:style w:type="character" w:styleId="WW8Num13z0">
    <w:name w:val="WW8Num13z0"/>
    <w:qFormat/>
    <w:rPr>
      <w:rFonts w:ascii="Symbol" w:hAnsi="Symbol" w:cs="Symbol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5z0">
    <w:name w:val="WW8Num15z0"/>
    <w:qFormat/>
    <w:rPr>
      <w:rFonts w:ascii="Symbol" w:hAnsi="Symbol" w:cs="Symbol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6z0">
    <w:name w:val="WW8Num16z0"/>
    <w:qFormat/>
    <w:rPr>
      <w:rFonts w:ascii="Symbol" w:hAnsi="Symbol" w:cs="Symbol"/>
    </w:rPr>
  </w:style>
  <w:style w:type="character" w:styleId="WW8Num17z0">
    <w:name w:val="WW8Num17z0"/>
    <w:qFormat/>
    <w:rPr>
      <w:rFonts w:ascii="Symbol" w:hAnsi="Symbol" w:cs="Symbol"/>
    </w:rPr>
  </w:style>
  <w:style w:type="character" w:styleId="WW8Num17z1">
    <w:name w:val="WW8Num17z1"/>
    <w:qFormat/>
    <w:rPr>
      <w:rFonts w:ascii="Courier New" w:hAnsi="Courier New" w:cs="Courier New"/>
    </w:rPr>
  </w:style>
  <w:style w:type="character" w:styleId="WW8Num17z2">
    <w:name w:val="WW8Num17z2"/>
    <w:qFormat/>
    <w:rPr>
      <w:rFonts w:ascii="Wingdings" w:hAnsi="Wingdings" w:cs="Wingdings"/>
    </w:rPr>
  </w:style>
  <w:style w:type="character" w:styleId="WW8Num18z0">
    <w:name w:val="WW8Num18z0"/>
    <w:qFormat/>
    <w:rPr>
      <w:rFonts w:ascii="Times New Roman" w:hAnsi="Times New Roman" w:eastAsia="Times New Roman" w:cs="Times New Roman"/>
    </w:rPr>
  </w:style>
  <w:style w:type="character" w:styleId="WW8Num18z1">
    <w:name w:val="WW8Num18z1"/>
    <w:qFormat/>
    <w:rPr>
      <w:rFonts w:ascii="Courier New" w:hAnsi="Courier New" w:cs="Courier New"/>
    </w:rPr>
  </w:style>
  <w:style w:type="character" w:styleId="WW8Num18z2">
    <w:name w:val="WW8Num18z2"/>
    <w:qFormat/>
    <w:rPr>
      <w:rFonts w:ascii="Wingdings" w:hAnsi="Wingdings" w:cs="Wingdings"/>
    </w:rPr>
  </w:style>
  <w:style w:type="character" w:styleId="WW8Num18z3">
    <w:name w:val="WW8Num18z3"/>
    <w:qFormat/>
    <w:rPr>
      <w:rFonts w:ascii="Symbol" w:hAnsi="Symbol" w:cs="Symbol"/>
    </w:rPr>
  </w:style>
  <w:style w:type="character" w:styleId="WW8Num19z2">
    <w:name w:val="WW8Num19z2"/>
    <w:qFormat/>
    <w:rPr>
      <w:rFonts w:ascii="Symbol" w:hAnsi="Symbol" w:cs="Symbol"/>
    </w:rPr>
  </w:style>
  <w:style w:type="character" w:styleId="WW8Num20z0">
    <w:name w:val="WW8Num20z0"/>
    <w:qFormat/>
    <w:rPr>
      <w:rFonts w:ascii="Symbol" w:hAnsi="Symbol" w:cs="Symbol"/>
    </w:rPr>
  </w:style>
  <w:style w:type="character" w:styleId="WW8Num20z1">
    <w:name w:val="WW8Num20z1"/>
    <w:qFormat/>
    <w:rPr>
      <w:rFonts w:ascii="Courier New" w:hAnsi="Courier New" w:cs="Courier New"/>
    </w:rPr>
  </w:style>
  <w:style w:type="character" w:styleId="WW8Num20z2">
    <w:name w:val="WW8Num20z2"/>
    <w:qFormat/>
    <w:rPr>
      <w:rFonts w:ascii="Wingdings" w:hAnsi="Wingdings" w:cs="Wingdings"/>
    </w:rPr>
  </w:style>
  <w:style w:type="character" w:styleId="WW8Num21z0">
    <w:name w:val="WW8Num21z0"/>
    <w:qFormat/>
    <w:rPr>
      <w:rFonts w:ascii="Symbol" w:hAnsi="Symbol" w:cs="Symbol"/>
    </w:rPr>
  </w:style>
  <w:style w:type="character" w:styleId="WW8Num21z1">
    <w:name w:val="WW8Num21z1"/>
    <w:qFormat/>
    <w:rPr>
      <w:rFonts w:ascii="Courier New" w:hAnsi="Courier New" w:cs="Courier New"/>
    </w:rPr>
  </w:style>
  <w:style w:type="character" w:styleId="WW8Num21z2">
    <w:name w:val="WW8Num21z2"/>
    <w:qFormat/>
    <w:rPr>
      <w:rFonts w:ascii="Wingdings" w:hAnsi="Wingdings" w:cs="Wingdings"/>
    </w:rPr>
  </w:style>
  <w:style w:type="character" w:styleId="WW8Num22z0">
    <w:name w:val="WW8Num22z0"/>
    <w:qFormat/>
    <w:rPr>
      <w:rFonts w:ascii="Courier New" w:hAnsi="Courier New" w:cs="Courier New"/>
    </w:rPr>
  </w:style>
  <w:style w:type="character" w:styleId="WW8Num22z2">
    <w:name w:val="WW8Num22z2"/>
    <w:qFormat/>
    <w:rPr>
      <w:rFonts w:ascii="Wingdings" w:hAnsi="Wingdings" w:cs="Wingdings"/>
    </w:rPr>
  </w:style>
  <w:style w:type="character" w:styleId="WW8Num22z3">
    <w:name w:val="WW8Num22z3"/>
    <w:qFormat/>
    <w:rPr>
      <w:rFonts w:ascii="Symbol" w:hAnsi="Symbol" w:cs="Symbol"/>
    </w:rPr>
  </w:style>
  <w:style w:type="character" w:styleId="WW8Num23z0">
    <w:name w:val="WW8Num23z0"/>
    <w:qFormat/>
    <w:rPr>
      <w:rFonts w:ascii="Symbol" w:hAnsi="Symbol" w:cs="Symbol"/>
    </w:rPr>
  </w:style>
  <w:style w:type="character" w:styleId="WW8Num23z1">
    <w:name w:val="WW8Num23z1"/>
    <w:qFormat/>
    <w:rPr>
      <w:rFonts w:ascii="Courier New" w:hAnsi="Courier New" w:cs="Courier New"/>
    </w:rPr>
  </w:style>
  <w:style w:type="character" w:styleId="WW8Num23z2">
    <w:name w:val="WW8Num23z2"/>
    <w:qFormat/>
    <w:rPr>
      <w:rFonts w:ascii="Wingdings" w:hAnsi="Wingdings" w:cs="Wingdings"/>
    </w:rPr>
  </w:style>
  <w:style w:type="character" w:styleId="WW8Num24z0">
    <w:name w:val="WW8Num24z0"/>
    <w:qFormat/>
    <w:rPr>
      <w:rFonts w:ascii="Symbol" w:hAnsi="Symbol" w:cs="Symbol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4z2">
    <w:name w:val="WW8Num24z2"/>
    <w:qFormat/>
    <w:rPr>
      <w:rFonts w:ascii="Wingdings" w:hAnsi="Wingdings" w:cs="Wingdings"/>
    </w:rPr>
  </w:style>
  <w:style w:type="character" w:styleId="WW8Num25z0">
    <w:name w:val="WW8Num25z0"/>
    <w:qFormat/>
    <w:rPr>
      <w:rFonts w:ascii="Symbol" w:hAnsi="Symbol" w:cs="Symbol"/>
    </w:rPr>
  </w:style>
  <w:style w:type="character" w:styleId="WW8Num25z1">
    <w:name w:val="WW8Num25z1"/>
    <w:qFormat/>
    <w:rPr>
      <w:rFonts w:ascii="Courier New" w:hAnsi="Courier New" w:cs="Courier New"/>
    </w:rPr>
  </w:style>
  <w:style w:type="character" w:styleId="WW8Num25z2">
    <w:name w:val="WW8Num25z2"/>
    <w:qFormat/>
    <w:rPr>
      <w:rFonts w:ascii="Wingdings" w:hAnsi="Wingdings" w:cs="Wingdings"/>
    </w:rPr>
  </w:style>
  <w:style w:type="character" w:styleId="WW8Num26z0">
    <w:name w:val="WW8Num26z0"/>
    <w:qFormat/>
    <w:rPr>
      <w:rFonts w:ascii="Symbol" w:hAnsi="Symbol" w:eastAsia="Times New Roman" w:cs="Times New Roman"/>
    </w:rPr>
  </w:style>
  <w:style w:type="character" w:styleId="WW8Num26z1">
    <w:name w:val="WW8Num26z1"/>
    <w:qFormat/>
    <w:rPr>
      <w:rFonts w:ascii="Courier New" w:hAnsi="Courier New" w:cs="Courier New"/>
    </w:rPr>
  </w:style>
  <w:style w:type="character" w:styleId="WW8Num26z2">
    <w:name w:val="WW8Num26z2"/>
    <w:qFormat/>
    <w:rPr>
      <w:rFonts w:ascii="Wingdings" w:hAnsi="Wingdings" w:cs="Wingdings"/>
    </w:rPr>
  </w:style>
  <w:style w:type="character" w:styleId="WW8Num26z3">
    <w:name w:val="WW8Num26z3"/>
    <w:qFormat/>
    <w:rPr>
      <w:rFonts w:ascii="Symbol" w:hAnsi="Symbol" w:cs="Symbol"/>
    </w:rPr>
  </w:style>
  <w:style w:type="character" w:styleId="WW8Num27z0">
    <w:name w:val="WW8Num27z0"/>
    <w:qFormat/>
    <w:rPr>
      <w:rFonts w:ascii="Symbol" w:hAnsi="Symbol" w:cs="Symbol"/>
    </w:rPr>
  </w:style>
  <w:style w:type="character" w:styleId="WW8Num27z1">
    <w:name w:val="WW8Num27z1"/>
    <w:qFormat/>
    <w:rPr>
      <w:rFonts w:ascii="Courier New" w:hAnsi="Courier New" w:cs="Courier New"/>
    </w:rPr>
  </w:style>
  <w:style w:type="character" w:styleId="WW8Num27z2">
    <w:name w:val="WW8Num27z2"/>
    <w:qFormat/>
    <w:rPr>
      <w:rFonts w:ascii="Wingdings" w:hAnsi="Wingdings" w:cs="Wingdings"/>
    </w:rPr>
  </w:style>
  <w:style w:type="character" w:styleId="WW8Num28z0">
    <w:name w:val="WW8Num28z0"/>
    <w:qFormat/>
    <w:rPr>
      <w:rFonts w:ascii="Symbol" w:hAnsi="Symbol" w:cs="Symbol"/>
    </w:rPr>
  </w:style>
  <w:style w:type="character" w:styleId="WW8Num28z1">
    <w:name w:val="WW8Num28z1"/>
    <w:qFormat/>
    <w:rPr>
      <w:rFonts w:ascii="Courier New" w:hAnsi="Courier New" w:cs="Courier New"/>
    </w:rPr>
  </w:style>
  <w:style w:type="character" w:styleId="WW8Num28z2">
    <w:name w:val="WW8Num28z2"/>
    <w:qFormat/>
    <w:rPr>
      <w:rFonts w:ascii="Wingdings" w:hAnsi="Wingdings" w:cs="Wingdings"/>
    </w:rPr>
  </w:style>
  <w:style w:type="character" w:styleId="WW8Num29z0">
    <w:name w:val="WW8Num29z0"/>
    <w:qFormat/>
    <w:rPr/>
  </w:style>
  <w:style w:type="character" w:styleId="WW8Num29z1">
    <w:name w:val="WW8Num29z1"/>
    <w:qFormat/>
    <w:rPr/>
  </w:style>
  <w:style w:type="character" w:styleId="Domylnaczcionkaakapitu">
    <w:name w:val="Domyślna czcionka akapitu"/>
    <w:qFormat/>
    <w:rPr/>
  </w:style>
  <w:style w:type="character" w:styleId="AbsatzStandardschriftart">
    <w:name w:val="Absatz-Standardschriftart"/>
    <w:qFormat/>
    <w:rPr/>
  </w:style>
  <w:style w:type="character" w:styleId="Domylnaczcionkaakapitu1">
    <w:name w:val="Domyślna czcionka akapitu1"/>
    <w:qFormat/>
    <w:rPr/>
  </w:style>
  <w:style w:type="character" w:styleId="Numerstron">
    <w:name w:val="Page Number"/>
    <w:basedOn w:val="Domylnaczcionkaakapitu1"/>
    <w:rPr/>
  </w:style>
  <w:style w:type="character" w:styleId="Znakinumeracji">
    <w:name w:val="Znaki numeracji"/>
    <w:qFormat/>
    <w:rPr/>
  </w:style>
  <w:style w:type="character" w:styleId="NagwekZnak">
    <w:name w:val="Nagłówek Znak"/>
    <w:qFormat/>
    <w:rPr/>
  </w:style>
  <w:style w:type="character" w:styleId="TekstprzypisudolnegoZnak">
    <w:name w:val="Tekst przypisu dolnego Znak"/>
    <w:qFormat/>
    <w:rPr>
      <w:rFonts w:eastAsia="Calibri"/>
      <w:lang w:val="pl-PL"/>
    </w:rPr>
  </w:style>
  <w:style w:type="character" w:styleId="DeltaViewInsertion">
    <w:name w:val="DeltaView Insertion"/>
    <w:qFormat/>
    <w:rPr>
      <w:b/>
      <w:i/>
      <w:spacing w:val="0"/>
    </w:rPr>
  </w:style>
  <w:style w:type="character" w:styleId="Znakiprzypiswdolnych">
    <w:name w:val="Znaki przypisów dolnych"/>
    <w:qFormat/>
    <w:rPr>
      <w:shd w:fill="auto" w:val="clear"/>
      <w:vertAlign w:val="superscript"/>
    </w:rPr>
  </w:style>
  <w:style w:type="character" w:styleId="TekstdymkaZnak">
    <w:name w:val="Tekst dymka Znak"/>
    <w:qFormat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Podtytu"/>
    <w:qFormat/>
    <w:pPr>
      <w:jc w:val="center"/>
    </w:pPr>
    <w:rPr>
      <w:sz w:val="28"/>
    </w:rPr>
  </w:style>
  <w:style w:type="paragraph" w:styleId="Tretekstu">
    <w:name w:val="Body Text"/>
    <w:basedOn w:val="Normal"/>
    <w:pPr/>
    <w:rPr>
      <w:sz w:val="28"/>
    </w:rPr>
  </w:style>
  <w:style w:type="paragraph" w:styleId="Lista">
    <w:name w:val="List"/>
    <w:basedOn w:val="Tretekstu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ahoma"/>
    </w:rPr>
  </w:style>
  <w:style w:type="paragraph" w:styleId="Caption">
    <w:name w:val="caption"/>
    <w:basedOn w:val="Normal"/>
    <w:next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opka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rzypisdolny">
    <w:name w:val="Footnote Text"/>
    <w:basedOn w:val="Normal"/>
    <w:pPr>
      <w:suppressAutoHyphens w:val="false"/>
      <w:ind w:left="720" w:right="0" w:hanging="720"/>
      <w:jc w:val="both"/>
    </w:pPr>
    <w:rPr>
      <w:rFonts w:eastAsia="Calibri"/>
      <w:lang w:val="pl-PL"/>
    </w:rPr>
  </w:style>
  <w:style w:type="paragraph" w:styleId="Gwka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odtytu">
    <w:name w:val="Subtitle"/>
    <w:basedOn w:val="Nagwek11"/>
    <w:next w:val="Tretekstu"/>
    <w:qFormat/>
    <w:pPr>
      <w:jc w:val="center"/>
    </w:pPr>
    <w:rPr>
      <w:i/>
      <w:iCs/>
      <w:sz w:val="28"/>
      <w:szCs w:val="28"/>
    </w:rPr>
  </w:style>
  <w:style w:type="paragraph" w:styleId="Nagwek11">
    <w:name w:val="Nagłówek1"/>
    <w:basedOn w:val="Normal"/>
    <w:next w:val="Tretekstu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ytu">
    <w:name w:val="Title"/>
    <w:basedOn w:val="Nagwek"/>
    <w:next w:val="Tretekstu"/>
    <w:qFormat/>
    <w:pPr>
      <w:jc w:val="center"/>
    </w:pPr>
    <w:rPr>
      <w:b/>
      <w:bCs/>
      <w:sz w:val="56"/>
      <w:szCs w:val="56"/>
    </w:rPr>
  </w:style>
  <w:style w:type="paragraph" w:styleId="Podpis1">
    <w:name w:val="Podpis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ekstpodstawowy21">
    <w:name w:val="Tekst podstawowy 21"/>
    <w:basedOn w:val="Normal"/>
    <w:qFormat/>
    <w:pPr>
      <w:ind w:left="0" w:right="-142" w:hanging="0"/>
    </w:pPr>
    <w:rPr>
      <w:b/>
      <w:sz w:val="28"/>
    </w:rPr>
  </w:style>
  <w:style w:type="paragraph" w:styleId="Tekstpodstawowy31">
    <w:name w:val="Tekst podstawowy 31"/>
    <w:basedOn w:val="Normal"/>
    <w:qFormat/>
    <w:pPr/>
    <w:rPr>
      <w:b/>
      <w:sz w:val="28"/>
    </w:rPr>
  </w:style>
  <w:style w:type="paragraph" w:styleId="Zawartoramki">
    <w:name w:val="Zawartość ramki"/>
    <w:basedOn w:val="Tretekstu"/>
    <w:qFormat/>
    <w:pPr/>
    <w:rPr/>
  </w:style>
  <w:style w:type="paragraph" w:styleId="NormalnyWeb">
    <w:name w:val="Normalny (Web)"/>
    <w:basedOn w:val="Normal"/>
    <w:qFormat/>
    <w:pPr>
      <w:suppressAutoHyphens w:val="false"/>
      <w:spacing w:before="100" w:after="100"/>
    </w:pPr>
    <w:rPr>
      <w:sz w:val="24"/>
      <w:szCs w:val="24"/>
    </w:rPr>
  </w:style>
  <w:style w:type="paragraph" w:styleId="Tekstdymka">
    <w:name w:val="Tekst dymka"/>
    <w:basedOn w:val="Normal"/>
    <w:qFormat/>
    <w:pPr/>
    <w:rPr>
      <w:rFonts w:ascii="Segoe UI" w:hAnsi="Segoe UI" w:cs="Segoe UI"/>
      <w:sz w:val="18"/>
      <w:szCs w:val="18"/>
    </w:rPr>
  </w:style>
  <w:style w:type="paragraph" w:styleId="Akapitzlist">
    <w:name w:val="Akapit z listą"/>
    <w:basedOn w:val="Normal"/>
    <w:qFormat/>
    <w:pPr>
      <w:spacing w:lineRule="exact" w:line="300" w:before="120" w:after="0"/>
      <w:ind w:left="720" w:right="0" w:hanging="0"/>
      <w:contextualSpacing/>
      <w:jc w:val="both"/>
    </w:pPr>
    <w:rPr>
      <w:sz w:val="24"/>
      <w:szCs w:val="24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Default">
    <w:name w:val="Default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Calibri" w:hAnsi="Calibri" w:eastAsia="0" w:cs="Lucida Sans"/>
      <w:color w:val="000000"/>
      <w:kern w:val="2"/>
      <w:sz w:val="24"/>
      <w:szCs w:val="24"/>
      <w:lang w:val="pl-PL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1250</TotalTime>
  <Application>LibreOffice/7.4.0.3$Windows_X86_64 LibreOffice_project/f85e47c08ddd19c015c0114a68350214f7066f5a</Application>
  <AppVersion>15.0000</AppVersion>
  <Pages>6</Pages>
  <Words>726</Words>
  <Characters>4750</Characters>
  <CharactersWithSpaces>5396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Kuś</dc:creator>
  <dc:description/>
  <dc:language>pl-PL</dc:language>
  <cp:lastModifiedBy/>
  <cp:lastPrinted>2023-01-03T13:45:27Z</cp:lastPrinted>
  <dcterms:modified xsi:type="dcterms:W3CDTF">2023-01-03T15:46:24Z</dcterms:modified>
  <cp:revision>91</cp:revision>
  <dc:subject/>
  <dc:title>Znak sprawy: ZP/24/2006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12200F9FBBD64F1BB908D09807D03509</vt:lpwstr>
  </property>
  <property fmtid="{D5CDD505-2E9C-101B-9397-08002B2CF9AE}" pid="3" name="KSOProductBuildVer">
    <vt:lpwstr>1045-11.2.0.11156</vt:lpwstr>
  </property>
</Properties>
</file>