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BA0F7C" w:rsidRDefault="00BA0F7C" w:rsidP="00BA0F7C">
            <w:pPr>
              <w:keepNext/>
              <w:keepLines/>
              <w:suppressAutoHyphens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0F7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Obec Budmerice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BA0F7C" w:rsidRDefault="00BA0F7C" w:rsidP="00BA0F7C">
            <w:pPr>
              <w:keepNext/>
              <w:keepLines/>
              <w:suppressAutoHyphens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0F7C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Vybudovanie a modernizácie odborných učební v ZŠ s MŠ Budmerice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3434E4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3434E4">
        <w:rPr>
          <w:rFonts w:ascii="Arial" w:hAnsi="Arial" w:cs="Arial"/>
          <w:b/>
          <w:sz w:val="24"/>
          <w:szCs w:val="24"/>
        </w:rPr>
        <w:t>„</w:t>
      </w:r>
      <w:r w:rsidR="00BA0F7C" w:rsidRPr="00BA0F7C">
        <w:rPr>
          <w:rFonts w:ascii="Arial" w:hAnsi="Arial" w:cs="Arial"/>
          <w:b/>
          <w:snapToGrid w:val="0"/>
          <w:sz w:val="20"/>
          <w:szCs w:val="20"/>
          <w:lang w:val="sk-SK" w:eastAsia="en-US"/>
        </w:rPr>
        <w:t>Vybudovanie a modernizácie odborných učební v ZŠ s MŠ Budmerice</w:t>
      </w:r>
      <w:r w:rsidR="00203D28" w:rsidRPr="003434E4">
        <w:rPr>
          <w:rFonts w:ascii="Arial" w:hAnsi="Arial" w:cs="Arial"/>
          <w:sz w:val="20"/>
          <w:szCs w:val="20"/>
        </w:rPr>
        <w:t>.</w:t>
      </w:r>
      <w:r w:rsidR="00FA6325" w:rsidRPr="003434E4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BA0F7C">
        <w:rPr>
          <w:rFonts w:ascii="Arial" w:hAnsi="Arial" w:cs="Arial"/>
          <w:b/>
          <w:bCs/>
          <w:sz w:val="20"/>
          <w:szCs w:val="20"/>
        </w:rPr>
        <w:t>29.02</w:t>
      </w:r>
      <w:r w:rsidR="00A068DE">
        <w:rPr>
          <w:rFonts w:ascii="Arial" w:hAnsi="Arial" w:cs="Arial"/>
          <w:b/>
          <w:bCs/>
          <w:sz w:val="20"/>
          <w:szCs w:val="20"/>
        </w:rPr>
        <w:t>.2020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540933" w:rsidRPr="00540933" w:rsidRDefault="00FA6325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3434E4">
        <w:rPr>
          <w:rFonts w:ascii="Arial" w:hAnsi="Arial" w:cs="Arial"/>
          <w:b/>
          <w:sz w:val="24"/>
          <w:szCs w:val="24"/>
        </w:rPr>
        <w:t>„</w:t>
      </w:r>
      <w:r w:rsidR="00BA0F7C" w:rsidRPr="00BA0F7C">
        <w:rPr>
          <w:rFonts w:ascii="Arial" w:hAnsi="Arial" w:cs="Arial"/>
          <w:b/>
          <w:snapToGrid w:val="0"/>
          <w:sz w:val="20"/>
          <w:szCs w:val="20"/>
          <w:lang w:val="sk-SK" w:eastAsia="en-US"/>
        </w:rPr>
        <w:t>Vybudovanie a modernizácie odborných učební v ZŠ s MŠ Budmerice</w:t>
      </w:r>
      <w:r w:rsidR="00BA0F7C">
        <w:rPr>
          <w:rFonts w:ascii="Arial" w:hAnsi="Arial" w:cs="Arial"/>
          <w:b/>
          <w:snapToGrid w:val="0"/>
          <w:sz w:val="20"/>
          <w:szCs w:val="20"/>
          <w:lang w:val="sk-SK" w:eastAsia="en-US"/>
        </w:rPr>
        <w:t>“</w:t>
      </w: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BA0F7C">
        <w:rPr>
          <w:rFonts w:ascii="Arial" w:hAnsi="Arial" w:cs="Arial"/>
          <w:b/>
          <w:bCs/>
          <w:sz w:val="20"/>
          <w:szCs w:val="20"/>
        </w:rPr>
        <w:t>29.02.2020</w:t>
      </w:r>
      <w:bookmarkStart w:id="0" w:name="_GoBack"/>
      <w:bookmarkEnd w:id="0"/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3D2" w:rsidRDefault="00A813D2" w:rsidP="00A11209">
      <w:r>
        <w:separator/>
      </w:r>
    </w:p>
  </w:endnote>
  <w:endnote w:type="continuationSeparator" w:id="0">
    <w:p w:rsidR="00A813D2" w:rsidRDefault="00A813D2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3D2" w:rsidRDefault="00A813D2" w:rsidP="00A11209">
      <w:r>
        <w:separator/>
      </w:r>
    </w:p>
  </w:footnote>
  <w:footnote w:type="continuationSeparator" w:id="0">
    <w:p w:rsidR="00A813D2" w:rsidRDefault="00A813D2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BA0F7C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203D28"/>
    <w:rsid w:val="002C20BE"/>
    <w:rsid w:val="002D0058"/>
    <w:rsid w:val="00310C12"/>
    <w:rsid w:val="003434E4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0587"/>
    <w:rsid w:val="009F3A07"/>
    <w:rsid w:val="00A068DE"/>
    <w:rsid w:val="00A11209"/>
    <w:rsid w:val="00A813D2"/>
    <w:rsid w:val="00B03501"/>
    <w:rsid w:val="00B84A80"/>
    <w:rsid w:val="00B9066A"/>
    <w:rsid w:val="00BA0F7C"/>
    <w:rsid w:val="00C12CBC"/>
    <w:rsid w:val="00CA1E10"/>
    <w:rsid w:val="00D065F6"/>
    <w:rsid w:val="00E22A82"/>
    <w:rsid w:val="00E4492E"/>
    <w:rsid w:val="00EB0ED7"/>
    <w:rsid w:val="00ED1420"/>
    <w:rsid w:val="00ED20AC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2019-06-03T19:01:00Z</dcterms:created>
  <dcterms:modified xsi:type="dcterms:W3CDTF">2019-06-03T19:01:00Z</dcterms:modified>
</cp:coreProperties>
</file>