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145C" w14:textId="1B4B33A9" w:rsidR="00C02061" w:rsidRPr="00B47104" w:rsidRDefault="00B47104" w:rsidP="00B47104">
      <w:pPr>
        <w:spacing w:line="276" w:lineRule="auto"/>
        <w:jc w:val="center"/>
        <w:rPr>
          <w:rFonts w:ascii="Corbel" w:eastAsia="Calibri" w:hAnsi="Corbel" w:cs="Arial"/>
          <w:b/>
        </w:rPr>
      </w:pPr>
      <w:r w:rsidRPr="00B47104">
        <w:rPr>
          <w:rFonts w:ascii="Corbel" w:eastAsia="Calibri" w:hAnsi="Corbel" w:cs="Arial"/>
          <w:b/>
        </w:rPr>
        <w:t>Opis predmetu zákazky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04FC19E" w14:textId="77777777" w:rsidR="00671355" w:rsidRDefault="00B47104" w:rsidP="00B4710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Názov zákazky:</w:t>
      </w:r>
      <w:r w:rsidR="00671355">
        <w:rPr>
          <w:rFonts w:ascii="Corbel" w:hAnsi="Corbel" w:cs="Arial"/>
          <w:b/>
          <w:bCs/>
        </w:rPr>
        <w:t xml:space="preserve"> </w:t>
      </w:r>
    </w:p>
    <w:p w14:paraId="373AE4FA" w14:textId="5901420D" w:rsidR="007B074A" w:rsidRPr="00671355" w:rsidRDefault="0064432B" w:rsidP="00B4710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</w:rPr>
      </w:pPr>
      <w:r w:rsidRPr="00671355">
        <w:rPr>
          <w:rFonts w:ascii="Corbel" w:hAnsi="Corbel" w:cs="Arial"/>
        </w:rPr>
        <w:t>„</w:t>
      </w:r>
      <w:r w:rsidR="007B074A" w:rsidRPr="00671355">
        <w:rPr>
          <w:rFonts w:ascii="Corbel" w:hAnsi="Corbel" w:cs="Arial"/>
        </w:rPr>
        <w:t>Chemikálie a spotrebný materiál pre projekt Spencer“ - 72</w:t>
      </w:r>
    </w:p>
    <w:p w14:paraId="4EFEBCD6" w14:textId="1F9C6D76" w:rsidR="00DD3E96" w:rsidRDefault="00671355" w:rsidP="00671355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bCs/>
        </w:rPr>
      </w:pPr>
      <w:r w:rsidRPr="00671355">
        <w:rPr>
          <w:rFonts w:ascii="Corbel" w:hAnsi="Corbel" w:cs="Arial"/>
          <w:b/>
          <w:bCs/>
        </w:rPr>
        <w:t>Technické vlastnosti:</w:t>
      </w:r>
      <w:r w:rsidR="000A4D53" w:rsidRPr="00671355">
        <w:rPr>
          <w:rFonts w:ascii="Corbel" w:hAnsi="Corbel" w:cs="Arial"/>
          <w:b/>
          <w:bCs/>
        </w:rPr>
        <w:t xml:space="preserve"> </w:t>
      </w:r>
    </w:p>
    <w:p w14:paraId="1CBA4573" w14:textId="55A2A1D2" w:rsidR="00671355" w:rsidRPr="00671355" w:rsidRDefault="00671355" w:rsidP="00671355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 xml:space="preserve">Časť </w:t>
      </w:r>
      <w:r w:rsidR="00865970">
        <w:rPr>
          <w:rFonts w:ascii="Corbel" w:hAnsi="Corbel" w:cs="Arial"/>
          <w:b/>
          <w:bCs/>
        </w:rPr>
        <w:t>2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108"/>
        <w:gridCol w:w="1703"/>
        <w:gridCol w:w="3985"/>
        <w:gridCol w:w="996"/>
        <w:gridCol w:w="1224"/>
      </w:tblGrid>
      <w:tr w:rsidR="00EE680F" w:rsidRPr="00EE680F" w14:paraId="3FFE336B" w14:textId="77777777" w:rsidTr="008D24C3">
        <w:trPr>
          <w:trHeight w:val="912"/>
        </w:trPr>
        <w:tc>
          <w:tcPr>
            <w:tcW w:w="1108" w:type="dxa"/>
            <w:hideMark/>
          </w:tcPr>
          <w:p w14:paraId="03FAA560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1703" w:type="dxa"/>
            <w:hideMark/>
          </w:tcPr>
          <w:p w14:paraId="41A6FE0F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  <w:t>Názov a popis  položky</w:t>
            </w:r>
          </w:p>
        </w:tc>
        <w:tc>
          <w:tcPr>
            <w:tcW w:w="3985" w:type="dxa"/>
            <w:hideMark/>
          </w:tcPr>
          <w:p w14:paraId="3E6D696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  <w:t>Opis</w:t>
            </w:r>
          </w:p>
        </w:tc>
        <w:tc>
          <w:tcPr>
            <w:tcW w:w="996" w:type="dxa"/>
            <w:hideMark/>
          </w:tcPr>
          <w:p w14:paraId="06717A19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  <w:t xml:space="preserve"> M.J. </w:t>
            </w:r>
          </w:p>
        </w:tc>
        <w:tc>
          <w:tcPr>
            <w:tcW w:w="1224" w:type="dxa"/>
            <w:hideMark/>
          </w:tcPr>
          <w:p w14:paraId="4A65D73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  <w:t>Množstvo</w:t>
            </w:r>
          </w:p>
        </w:tc>
      </w:tr>
      <w:tr w:rsidR="00EE680F" w:rsidRPr="00EE680F" w14:paraId="72690650" w14:textId="77777777" w:rsidTr="008D24C3">
        <w:trPr>
          <w:trHeight w:val="2880"/>
        </w:trPr>
        <w:tc>
          <w:tcPr>
            <w:tcW w:w="1108" w:type="dxa"/>
            <w:hideMark/>
          </w:tcPr>
          <w:p w14:paraId="160772EE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/>
                <w:bCs/>
                <w:i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03" w:type="dxa"/>
            <w:hideMark/>
          </w:tcPr>
          <w:p w14:paraId="36D0CCE2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CD marker anti-human antibody CD105-APC (napr. 323208 alebo ekvivalent spĺňajúci parametre opisu)*</w:t>
            </w:r>
          </w:p>
        </w:tc>
        <w:tc>
          <w:tcPr>
            <w:tcW w:w="3985" w:type="dxa"/>
            <w:hideMark/>
          </w:tcPr>
          <w:p w14:paraId="0350CB54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Cs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Cs/>
                <w:iCs/>
                <w:sz w:val="20"/>
                <w:szCs w:val="20"/>
                <w:lang w:eastAsia="sk-SK"/>
              </w:rPr>
              <w:t xml:space="preserve">Monoklonálna myšacia IgG1protilátka, K izotypová kontrola, konjugovaná APC, s overenou reaktivitou proti ľudským bunkám. Asociuje s TGF-ß receptorom I a II, homodimérnym integrálnym membránovým proteínom typu I. Veľkosť je 90 kD. </w:t>
            </w:r>
          </w:p>
          <w:p w14:paraId="4D950518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Cs/>
                <w:iCs/>
                <w:sz w:val="20"/>
                <w:szCs w:val="20"/>
                <w:lang w:eastAsia="sk-SK"/>
              </w:rPr>
              <w:t>Protilátka purifikovaná afinitnou chromatografiou a konjugovaná s APC za optimálnych podmienok. Protilátka uskladnená vo fosfátovom pufrovanom roztoku, pH 7,2, obsahujúcom 0,09% azid sodný a BSA.  Červený excitačný  laser (633 nm). Roztok protilátky uchovávaný nezriedený pri teplote 2 °C až 8 °C a protilátku je potebné chrániť pred dlhodobým vystavením svetlu. Protilátka vhodná na FC testovanie. Distribuujú ju endotelové bunky, aktivované monocyty/makrofágy, stromálne bunky kostnej drene, hematopoetické kmeňové/progenitorové bunky. 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  <w:hideMark/>
          </w:tcPr>
          <w:p w14:paraId="68F150AC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  <w:hideMark/>
          </w:tcPr>
          <w:p w14:paraId="0CB0B6FF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bCs/>
                <w:i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bCs/>
                <w:i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6199E1E3" w14:textId="77777777" w:rsidTr="008D24C3">
        <w:trPr>
          <w:trHeight w:val="2880"/>
        </w:trPr>
        <w:tc>
          <w:tcPr>
            <w:tcW w:w="1108" w:type="dxa"/>
          </w:tcPr>
          <w:p w14:paraId="42241550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03" w:type="dxa"/>
          </w:tcPr>
          <w:p w14:paraId="7D52676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CD marker anti-human  CD45-APC (napr. 304012 alebo ekvivalent spĺňajúci parametre opisu)*</w:t>
            </w:r>
          </w:p>
        </w:tc>
        <w:tc>
          <w:tcPr>
            <w:tcW w:w="3985" w:type="dxa"/>
          </w:tcPr>
          <w:p w14:paraId="5D56470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 xml:space="preserve">Monoklonálna myšacia IgG1protilátka , K izotypová kontrola, konjugovaná APC, s overenou reaktivitou proti ľudským bunkám. CD45 je 180-240 kD jednoreťazcový membránový glykoproteín typu I známy tiež ako spoločný antigén leukocytov (LCA) a T200. Tyrozínfosfatáza je exprimovaná na plazmatickej membráne všetkých krvotvorných buniek okrem erytrocytov a krvných doštičiek. CD45 je signálna molekula, ktorá reguluje rôzne bunkové procesy vrátane bunkového rastu, diferenciácie, bunkového cyklu a onkogénnej transformácie. Protilátka purifikovaná afinitnou chromatografiou a </w:t>
            </w: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konjugovaná s APC za optimálnych podmienok. Protilátka uskladnená vo fosfátovom pufrovanom roztoku, pH 7,2, obsahujúcom 0,09% azid sodný a BSA (pôvod USA). Roztok protilátky CD45 uchovávaný nezriedený pri teplote 2 °C až 8 °C a protilátku je potebné chrániť pred dlhodobým vystavením svetlu, nemôže byť uchovávaná v mrazničke. Protilátka vhodná na FC testovanie. Červený excitačný laser (633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51F03C73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Balenie</w:t>
            </w:r>
          </w:p>
        </w:tc>
        <w:tc>
          <w:tcPr>
            <w:tcW w:w="1224" w:type="dxa"/>
          </w:tcPr>
          <w:p w14:paraId="084BDE40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5E080BD4" w14:textId="77777777" w:rsidTr="008D24C3">
        <w:trPr>
          <w:trHeight w:val="2880"/>
        </w:trPr>
        <w:tc>
          <w:tcPr>
            <w:tcW w:w="1108" w:type="dxa"/>
          </w:tcPr>
          <w:p w14:paraId="677BBAD9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03" w:type="dxa"/>
          </w:tcPr>
          <w:p w14:paraId="10BBFA91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CD marker anti-human antibody CD47-APC (napr.  323124 alebo ekvivalent spĺňajúci parametre opisu)*</w:t>
            </w:r>
          </w:p>
        </w:tc>
        <w:tc>
          <w:tcPr>
            <w:tcW w:w="3985" w:type="dxa"/>
          </w:tcPr>
          <w:p w14:paraId="1688371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 xml:space="preserve">Monoklonálna myšacia IgG1protilátka , K izotypová kontrola, konjugovaná APC, s overenou reaktivitou proti ľudským bunkám. CD47, ako Rh-asociovaný proteín, gp42, integrín-asociovaný proteín (IAP) a neurofilín, ako 42-52 kD člen superrodiny imunoglobulínov obsahujúci päťpriechodové transmembránové pripojenie. V cytoplazmatickom chvoste opísané dva zostrihové varianty, kratšia forma je exprimovaná v bunkách odvodených z kostnej drene, endotelových bunkách a fibroblastoch, dlhšia forma je exprimovaná nervovými tkanivami. Expresia CD47 široko distribuovaná v hematopoetických bunkách vrátane tymocytov, T buniek, B buniek, monocytov, krvných doštičiek a erytrocytov, ako aj v epitelových bunkách, endotelových bunkách, fibroblastoch a nervových tkanivách. CD47 fungujúca ako adhézna molekula a trombospondínový receptor a je nekovalentne spojený s β3 integrínmi CD51/CD61, CD41/CD61. CD47 je tiež súčasťou Rh komplexu na erytrocytoch. Protilátka CC2C6 rozpoznávaúcajúca ľudský CD47 vhodná na prietokovú cytometriu. Protilátka purifikovaná afinitnou chromatografiou a konjugovaná s APC za optimálnych podmienok. Protilátka  uskladnená vo fosfátovom pufrovanom roztoku, pH 7,2, obsahujúcom 0,09% azid sodný a BSA. Roztok protilátky CD47 uchovávaný nezriedený pri teplote 2 °C až 8 °C a chránený pred dlhodobým vystavením svetlu, nemôže byť uchovávaný v mrazničke. Červený excitačný laser (633 nm). Veľkosť jedného balenia na zabezpečenie uskutočnenia 100 testov alebo ekvivalent balení pre dosiahnutie </w:t>
            </w: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požadovaného množstva 100 testov. Exspirácia minimálne 6 mesiacov odo dňa dodania.</w:t>
            </w:r>
          </w:p>
        </w:tc>
        <w:tc>
          <w:tcPr>
            <w:tcW w:w="996" w:type="dxa"/>
          </w:tcPr>
          <w:p w14:paraId="02B6197E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Balenie</w:t>
            </w:r>
          </w:p>
        </w:tc>
        <w:tc>
          <w:tcPr>
            <w:tcW w:w="1224" w:type="dxa"/>
          </w:tcPr>
          <w:p w14:paraId="1EFCA9B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7A2FFD81" w14:textId="77777777" w:rsidTr="008D24C3">
        <w:trPr>
          <w:trHeight w:val="2880"/>
        </w:trPr>
        <w:tc>
          <w:tcPr>
            <w:tcW w:w="1108" w:type="dxa"/>
          </w:tcPr>
          <w:p w14:paraId="75BAAAE4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03" w:type="dxa"/>
          </w:tcPr>
          <w:p w14:paraId="153AD5BB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CD marker anti-human antibody CD271-FITC (napr. 345104 alebo ekvivalent spĺňajúci parametre opisu)*</w:t>
            </w:r>
          </w:p>
        </w:tc>
        <w:tc>
          <w:tcPr>
            <w:tcW w:w="3985" w:type="dxa"/>
          </w:tcPr>
          <w:p w14:paraId="0D2625CD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Monoklonálna myšacia IgG1protilátka , K izotypová kontrola, konjugovaná FITC, s overenou reaktivitou proti ľudským bunkám.</w:t>
            </w:r>
          </w:p>
          <w:p w14:paraId="0B84EC2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CD271, ako p75NTR, TNFRSF16, p75(NTR), Gp80-LNGFR a NGFR, je transmembránový proteín typu I s molekulovou hmotnosťou 75 kD. Exprimovaný mnohými typmi buniek min. vrátane neurónov, Schwannových buniek, mezenchymálnych kmeňových/stromálnych buniek, folikulárnych dendritických buniek a melanocytov. Extracelulárna časť obsahujúca štyri opakovania TNFR-Cys, ktoré tvoria väzbovú doménu pre jeho ligandy (NGF, BDNF, NTF3 a NTF4). Intracelulárna časť CD271 obsahujúca doménu smrti, ktorá interaguje s TRAF2, TRAF4, TRAF6, PTPN13 a RANBP9, aby podporila bunkovú apoptózu a regulovala bunkovú diferenciáciu a neurogenézu. Protilátka purifikovaná afinitnou chromatografiou a konjugovaná s FITC za optimálnych podmienok. Protilátka uskladnená vo fosfátovom pufrovanom roztoku, pH 7,2, obsahujúcom 0,09% azid sodný a BSA. Roztok protilátky CD271 uchovávaný nezriedený pri teplote 2 °C až 8 °C a chránený pred dlhodobým vystavením svetlu, nemôže byť uchovávaný v mrazničke. Modrý excitačný laser (488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0564ADB3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</w:tcPr>
          <w:p w14:paraId="0268667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69ADC17C" w14:textId="77777777" w:rsidTr="008D24C3">
        <w:trPr>
          <w:trHeight w:val="2880"/>
        </w:trPr>
        <w:tc>
          <w:tcPr>
            <w:tcW w:w="1108" w:type="dxa"/>
          </w:tcPr>
          <w:p w14:paraId="1E1D3DFF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5.</w:t>
            </w:r>
          </w:p>
        </w:tc>
        <w:tc>
          <w:tcPr>
            <w:tcW w:w="1703" w:type="dxa"/>
          </w:tcPr>
          <w:p w14:paraId="62E01B0E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CD marker anti-human antibody CD304-FITC (napr. 354512 alebo ekvivalent spĺňajúci parametre opisu)*</w:t>
            </w:r>
          </w:p>
        </w:tc>
        <w:tc>
          <w:tcPr>
            <w:tcW w:w="3985" w:type="dxa"/>
          </w:tcPr>
          <w:p w14:paraId="4A7AC380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Monoklonálna myšacia IgG2a protilátka , K izotypová kontrola, konjugovaná FITC, s overenou reaktivitou proti ľudským bunkám. CD304, ako neuropilín-1, BDCA-4 a VEGF165R, je 140 kD transmembránový proteín typu I. Jeho extracelulárna oblasť obsahujúca 2 CUB, 2 FV/FVIII a jednu doménu MAM. Alternatívnym zostrihom mRNA vzniká rozpustná izoforma. CD304 podieľajúca sa na angiogenéze, neurálnom vývoji a metastázovaní nádoru. Je exprimovaný plazmacytoidnými dendritickými bunkami, tymocytmi, neurónmi, endotelom a podskupinou buniek TFH. CD304 taktiež exprimovaný v niekoľkých karcinómoch s vysokou expresiou korelujúcou pri rakovine prostaty so zlou prognózou.</w:t>
            </w: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br/>
              <w:t>Protilátka purifikovaná afinitnou chromatografiou a  konjugovaná s FITC za optimálnych podmienok. Protilátka  uskladnená vo fosfátovom pufrovanom roztoku, pH 7,2, obsahujúcom 0,09% azid sodný a BSA. Roztok protilátky CD304 uchovávaný nezriedený pri teplote 2 °C až 8 °C a chránený pred dlhodobým vystavením svetlu, nemôže byť uchovávaný v mrazničke. Modrý excitačný laser (488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62AAD00D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</w:tcPr>
          <w:p w14:paraId="4DFC78A9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6C2A8361" w14:textId="77777777" w:rsidTr="008D24C3">
        <w:trPr>
          <w:trHeight w:val="2880"/>
        </w:trPr>
        <w:tc>
          <w:tcPr>
            <w:tcW w:w="1108" w:type="dxa"/>
          </w:tcPr>
          <w:p w14:paraId="49E4A6EF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03" w:type="dxa"/>
          </w:tcPr>
          <w:p w14:paraId="63E50673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Calibri" w:hAnsi="Corbel" w:cs="Calibri"/>
                <w:szCs w:val="20"/>
                <w:lang w:eastAsia="sk-SK"/>
              </w:rPr>
              <w:t>CD marker anti-human antibody CD325-APC (napr. 350808 alebo ekvivalent spĺňajúci parametre opisu)*</w:t>
            </w:r>
          </w:p>
        </w:tc>
        <w:tc>
          <w:tcPr>
            <w:tcW w:w="3985" w:type="dxa"/>
          </w:tcPr>
          <w:p w14:paraId="64354BA2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 xml:space="preserve">Monoklonálna myšacia IgG1 protilátka , K izotypová kontrola, konjugovaná APC, s overenou reaktivitou proti ľudským bunkám. Protilátka purifikovaná afinitnou chromatografiou a konjugovaná s APC za optimálnych podmienok. CD325 (N-kadherín) je 130 kD, jednopriechodový transmembránový proteín. Jeho extracelulárna oblasť pozostáva z piatich domén EC a má jednu cytoplazmatickú doménu. N-kadherín sa podieľa na organogenéze a udržiavaní architektúry orgánov tým, že prispieva k triedeniu heterogénnych typov buniek a bunkovej adhézii potrebnej na tvorbu tkanív. N-kadherín exprimovaný kmeňovými bunkami, myeloblastmi, endotelovými bunkami a fibroblastmi a je tiež exprimovaný v nervových a svalových tkanivách a niektorých typoch rakovinových buniek. CD325 sa spája s cytoskeletom prostredníctvom katenínových </w:t>
            </w: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 xml:space="preserve">proteínov. </w:t>
            </w: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br/>
              <w:t>Protilátka uskladnená vo fosfátovom pufrovanom roztoku, pH 7,2, obsahujúcom 0,09% azid sodný a BSA. Roztok protilátky CD325 uchovaný nezriedený pri teplote 2 °C až 8 °C a chránený pred dlhodobým vystavením svetlu, nemôže byť uchovávaný v mrazničke. Modrý excitačný laser (488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6BA3683B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Balenie</w:t>
            </w:r>
          </w:p>
        </w:tc>
        <w:tc>
          <w:tcPr>
            <w:tcW w:w="1224" w:type="dxa"/>
          </w:tcPr>
          <w:p w14:paraId="76E28C3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5475B9F8" w14:textId="77777777" w:rsidTr="008D24C3">
        <w:trPr>
          <w:trHeight w:val="2880"/>
        </w:trPr>
        <w:tc>
          <w:tcPr>
            <w:tcW w:w="1108" w:type="dxa"/>
          </w:tcPr>
          <w:p w14:paraId="35FF1940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03" w:type="dxa"/>
          </w:tcPr>
          <w:p w14:paraId="16786D3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 w:cs="Calibri"/>
                <w:szCs w:val="20"/>
                <w:lang w:eastAsia="sk-SK"/>
              </w:rPr>
            </w:pPr>
            <w:r w:rsidRPr="00EE680F">
              <w:rPr>
                <w:rFonts w:ascii="Corbel" w:eastAsia="Calibri" w:hAnsi="Corbel" w:cs="Calibri"/>
                <w:szCs w:val="20"/>
                <w:lang w:eastAsia="sk-SK"/>
              </w:rPr>
              <w:t>CD marker anti-human antibody CD88-FITC (napr. 344306 alebo ekvivalent spĺňajúci parametre opisu)*</w:t>
            </w:r>
          </w:p>
        </w:tc>
        <w:tc>
          <w:tcPr>
            <w:tcW w:w="3985" w:type="dxa"/>
          </w:tcPr>
          <w:p w14:paraId="25029CF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Monoklonálna myšacia IgG2a protilátka , K izotypová kontrola, konjugovaná FITC, s overenou reaktivitou proti ľudským bunkám. CD88 je jednoreťazcový proteín so siedmimi oblasťami preklenujúcimi membránu s molekulovou hmotnosťou 43 kD. CD88 je exprimovaný monocytmi, neutrofilmi a eozinofilmi. Expresia CD88 v neimunitných bunkách, ako sú napr. gliové bunky, cerebelárne granulárne bunky, kardiomyocyty a vaskulárne endotelové bunky. CD88 je naviazaný na heterotrimérne G proteíny, ako je Gi, a po naviazaní C5a vedie signál transdukovaný CD88 k aktivácii PLCβ, PI-3 kinázy a PLA2, okrem iných molekúl, čo vedie k chemotaxii, uvoľneniu granulovaného enzýmu a produkcii superoxidového aniónu. Imunogén je rekombinantný peptid huC5aR N-terminal -NT (Asp15-Asp27). Protilátka uskladnená vo fosfátovom pufrovanom roztoku, pH 7,2, obsahujúcom 0,09% azid sodný a BSA. Roztok protilátky CD88 uchovávaný nezriedený pri teplote 2 °C až 8 °C a chránený pred dlhodobým vystavením svetlu, nemôže byť uchovávaný v mrazničke. Protilátka vhodná na FC testovanie.  Modrý excitačný laser (488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704C7C3B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</w:tcPr>
          <w:p w14:paraId="4146CEBB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336AB13B" w14:textId="77777777" w:rsidTr="008D24C3">
        <w:trPr>
          <w:trHeight w:val="2880"/>
        </w:trPr>
        <w:tc>
          <w:tcPr>
            <w:tcW w:w="1108" w:type="dxa"/>
          </w:tcPr>
          <w:p w14:paraId="436C375C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8.</w:t>
            </w:r>
          </w:p>
        </w:tc>
        <w:tc>
          <w:tcPr>
            <w:tcW w:w="1703" w:type="dxa"/>
          </w:tcPr>
          <w:p w14:paraId="29949D3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 w:cs="Calibri"/>
                <w:szCs w:val="20"/>
                <w:lang w:eastAsia="sk-SK"/>
              </w:rPr>
            </w:pPr>
            <w:r w:rsidRPr="00EE680F">
              <w:rPr>
                <w:rFonts w:ascii="Corbel" w:eastAsia="Calibri" w:hAnsi="Corbel" w:cs="Calibri"/>
                <w:szCs w:val="20"/>
                <w:lang w:eastAsia="sk-SK"/>
              </w:rPr>
              <w:t>CD marker anti-human antibody CD86-FITC (napr. 374204 alebo ekvivalent spĺňajúci parametre opisu)*</w:t>
            </w:r>
          </w:p>
        </w:tc>
        <w:tc>
          <w:tcPr>
            <w:tcW w:w="3985" w:type="dxa"/>
          </w:tcPr>
          <w:p w14:paraId="456003D2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 xml:space="preserve">Monoklonálna myšacia IgG1 protilátka , K izotypová kontrola, konjugovaná FITC, s overenou reaktivitou proti ľudským bunkám. CD86 je člen 80 kD imunoglobulínovej superrodiny známy ako B7-2, B70 a Ly-58. CD86 exprimovaný na aktivovaných B a T bunkách, monocytoch/makrofágoch, dendritických bunkách a astrocytoch. Ligand/receptor je CD28, CD152. </w:t>
            </w: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br/>
              <w:t>Protilátka uskladnená vo fosfátovom pufrovanom roztoku, pH 7,2, obsahujúcom 0,09% azid sodný a BSA. Roztok protilátky CD86 uchovávaný nezriedený pri teplote 2 °C až 8 °C, chránený pred dlhodobým vystavením svetlu a nemôže byť uchovávaný v mrazničke. Protilátka vhodná na FC testovanie.  Modrý excitačný laser (488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0F7F7C03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</w:tcPr>
          <w:p w14:paraId="28C54812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34CAEF3B" w14:textId="77777777" w:rsidTr="008D24C3">
        <w:trPr>
          <w:trHeight w:val="2880"/>
        </w:trPr>
        <w:tc>
          <w:tcPr>
            <w:tcW w:w="1108" w:type="dxa"/>
          </w:tcPr>
          <w:p w14:paraId="1F1E0458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703" w:type="dxa"/>
          </w:tcPr>
          <w:p w14:paraId="5D996AA0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 w:cs="Calibri"/>
                <w:szCs w:val="20"/>
                <w:lang w:eastAsia="sk-SK"/>
              </w:rPr>
            </w:pPr>
            <w:r w:rsidRPr="00EE680F">
              <w:rPr>
                <w:rFonts w:ascii="Corbel" w:eastAsia="Calibri" w:hAnsi="Corbel" w:cs="Calibri"/>
                <w:szCs w:val="20"/>
                <w:lang w:eastAsia="sk-SK"/>
              </w:rPr>
              <w:t>CD marker anti-human antibody CD81-FITC (napr. 349504 alebo ekvivalent spĺňajúci parametre opisu)*</w:t>
            </w:r>
          </w:p>
        </w:tc>
        <w:tc>
          <w:tcPr>
            <w:tcW w:w="3985" w:type="dxa"/>
          </w:tcPr>
          <w:p w14:paraId="619C60FA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Monoklonálna myšacia IgG1 protilátka , K izotypová kontrola, konjugovaná FITC, s overenou reaktivitou proti ľudským bunkám. CD81 je 26 kD neglykozylovaný člen superrodiny tetraspanínov (TM4SF), známy ako TAPA-1. CD81 je exprimovaný na T a B bunkách, NK bunkách, monocytoch, dendritických bunkách, tymocytoch, endotelových bunkách a fibroblastoch. Nízke hladiny expresie na granulocytoch. CD81 indukuje adhéziu B buniek prostredníctvom integrínu VLA-4 a zohráva úlohu v ranom vývoji T buniek. Protilátka uskladnená vo fosfátovom pufrovanom roztoku, pH 7,2, obsahujúcom 0,09% azid sodný a BSA. Roztok protilátky CD47 uchovávaný nezriedený pri teplote 2 °C až 8 °C, chránený pred dlhodobým vystavením svetlu a nemôže byť uchovávaný v mrazničke. Protilátka  vhodná na FC testovanie. Modrý excitačný laser (488 nm). Veľkosť jedného balenia na zabezpečenie uskutočnenia 100 testov alebo ekvivalent balení pre dosiahnutie požadovaného množstva 100 testov. Exspirácia minimálne 6 mesiacov odo dňa dodania.</w:t>
            </w:r>
          </w:p>
        </w:tc>
        <w:tc>
          <w:tcPr>
            <w:tcW w:w="996" w:type="dxa"/>
          </w:tcPr>
          <w:p w14:paraId="47414364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</w:tcPr>
          <w:p w14:paraId="2DC334BD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EE680F" w:rsidRPr="00EE680F" w14:paraId="6B92602A" w14:textId="77777777" w:rsidTr="008D24C3">
        <w:trPr>
          <w:trHeight w:val="2880"/>
        </w:trPr>
        <w:tc>
          <w:tcPr>
            <w:tcW w:w="1108" w:type="dxa"/>
          </w:tcPr>
          <w:p w14:paraId="68488997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lastRenderedPageBreak/>
              <w:t>10.</w:t>
            </w:r>
          </w:p>
        </w:tc>
        <w:tc>
          <w:tcPr>
            <w:tcW w:w="1703" w:type="dxa"/>
          </w:tcPr>
          <w:p w14:paraId="41D359EB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Calibri" w:hAnsi="Corbel" w:cs="Calibri"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Calibri" w:hAnsi="Corbel" w:cs="Calibri"/>
                <w:sz w:val="20"/>
                <w:szCs w:val="20"/>
                <w:lang w:eastAsia="sk-SK"/>
              </w:rPr>
              <w:t>CD marker anti-human antibody CD54-FITC (napr. 353108 alebo ekvivalent spĺňajúci parametre opisu)*</w:t>
            </w:r>
          </w:p>
        </w:tc>
        <w:tc>
          <w:tcPr>
            <w:tcW w:w="3985" w:type="dxa"/>
          </w:tcPr>
          <w:p w14:paraId="642D7412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Calibri" w:hAnsi="Corbel" w:cs="Calibri"/>
                <w:sz w:val="20"/>
                <w:szCs w:val="20"/>
                <w:lang w:eastAsia="sk-SK"/>
              </w:rPr>
              <w:t>Monoklonálna myšacia IgG1 protilátka , K izotypová kontrola, konjugovaná FITC, s overenou reaktivitou proti ľudským bunkám.</w:t>
            </w:r>
            <w:r w:rsidRPr="00EE680F">
              <w:rPr>
                <w:rFonts w:ascii="Corbel" w:eastAsia="Calibri" w:hAnsi="Corbel" w:cs="Calibri"/>
                <w:sz w:val="20"/>
                <w:szCs w:val="20"/>
                <w:lang w:eastAsia="sk-SK"/>
              </w:rPr>
              <w:br/>
              <w:t>CD54 je 85-110 kD transmembránový proteín typu I, známy  ako ICAM-1. Exprimuje sa na aktivovaných endotelových bunkách, vysokých endoteliálnych venulách, T a B bunkách, monocytoch/makrofágoch, granulocytoch a dendritických bunkách. CD54 využívané v bunkovej adhézii a podieľajúce sa na zápale a extravazácii leukocytov. CD54 je hlavným bunkovým receptorom pre rinovírus. ICAM-1 sa viaže na CD11a/CD18 (LFA-1), CD11b/CD18 (Mac-1), CD11c/CD18 (p150, 95), ako aj hyalurónan a fibrinogén.</w:t>
            </w:r>
            <w:r w:rsidRPr="00EE680F">
              <w:rPr>
                <w:rFonts w:ascii="Corbel" w:eastAsia="Calibri" w:hAnsi="Corbel" w:cs="Calibri"/>
                <w:sz w:val="20"/>
                <w:szCs w:val="20"/>
                <w:lang w:eastAsia="sk-SK"/>
              </w:rPr>
              <w:br/>
              <w:t xml:space="preserve">Protilátka  uskladnená vo fosfátovom pufrovanom roztoku, pH 7,2, obsahujúcom 0,09% azid sodný a BSA. Roztok protilátky CD54 uchovávaný nezriedený pri teplote 2 °C až 8 °C, chránený pred dlhodobým vystavením svetlu a nemôže byť uchovávaný v mrazničke. Protilátka vhodná na FC testovanie.  Modrý excitačný laser (488 nm).  Veľkosť jedného balenia na zabezpečenie uskutočnenia 100 testov alebo ekvivalent balení pre dosiahnutie požadovaného množstva 100 testov. </w:t>
            </w:r>
            <w:r w:rsidRPr="00EE680F"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  <w:t>Exspirácia minimálne 6 mesiacov odo dňa dodania.</w:t>
            </w:r>
          </w:p>
        </w:tc>
        <w:tc>
          <w:tcPr>
            <w:tcW w:w="996" w:type="dxa"/>
          </w:tcPr>
          <w:p w14:paraId="3ECABF5D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1224" w:type="dxa"/>
          </w:tcPr>
          <w:p w14:paraId="031C310D" w14:textId="77777777" w:rsidR="00EE680F" w:rsidRPr="00EE680F" w:rsidRDefault="00EE680F" w:rsidP="00EE680F">
            <w:pPr>
              <w:autoSpaceDE w:val="0"/>
              <w:autoSpaceDN w:val="0"/>
              <w:adjustRightInd w:val="0"/>
              <w:jc w:val="both"/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</w:pPr>
            <w:r w:rsidRPr="00EE680F">
              <w:rPr>
                <w:rFonts w:ascii="Corbel" w:eastAsia="Times New Roman" w:hAnsi="Corbel" w:cs="Times New Roman"/>
                <w:iCs/>
                <w:sz w:val="20"/>
                <w:szCs w:val="20"/>
                <w:lang w:eastAsia="sk-SK"/>
              </w:rPr>
              <w:t>1</w:t>
            </w:r>
          </w:p>
        </w:tc>
      </w:tr>
    </w:tbl>
    <w:p w14:paraId="69801E0C" w14:textId="77777777" w:rsidR="00EE680F" w:rsidRPr="00EE680F" w:rsidRDefault="00EE680F" w:rsidP="00EE680F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Times New Roman"/>
          <w:bCs/>
          <w:i/>
          <w:sz w:val="20"/>
          <w:szCs w:val="20"/>
          <w:lang w:eastAsia="sk-SK"/>
        </w:rPr>
      </w:pPr>
      <w:r w:rsidRPr="00EE680F">
        <w:rPr>
          <w:rFonts w:ascii="Corbel" w:eastAsia="Times New Roman" w:hAnsi="Corbel" w:cs="Times New Roman"/>
          <w:bCs/>
          <w:i/>
          <w:sz w:val="20"/>
          <w:szCs w:val="20"/>
          <w:lang w:eastAsia="sk-SK"/>
        </w:rPr>
        <w:t>* V prípade predloženia ekvivalentu, musí tento spĺňať požiadavky opisu; Pokiaľ je v špecifikácii uvedený konkrétny počet kusov v balení, umožňujeme predložiť ponuku s ekvivalentným/iným počtom kusov v balení tak, aby bolo možné dodanie celkového požadovaného množstva kusov/objemu.</w:t>
      </w:r>
    </w:p>
    <w:p w14:paraId="0F26BA61" w14:textId="77777777" w:rsidR="00F862BA" w:rsidRDefault="00F862BA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sectPr w:rsidR="00F862B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0A3C" w14:textId="77777777" w:rsidR="0066542C" w:rsidRDefault="0066542C" w:rsidP="00C02061">
      <w:pPr>
        <w:spacing w:after="0" w:line="240" w:lineRule="auto"/>
      </w:pPr>
      <w:r>
        <w:separator/>
      </w:r>
    </w:p>
  </w:endnote>
  <w:endnote w:type="continuationSeparator" w:id="0">
    <w:p w14:paraId="5E7D87DC" w14:textId="77777777" w:rsidR="0066542C" w:rsidRDefault="0066542C" w:rsidP="00C02061">
      <w:pPr>
        <w:spacing w:after="0" w:line="240" w:lineRule="auto"/>
      </w:pPr>
      <w:r>
        <w:continuationSeparator/>
      </w:r>
    </w:p>
  </w:endnote>
  <w:endnote w:type="continuationNotice" w:id="1">
    <w:p w14:paraId="5E0C16A4" w14:textId="77777777" w:rsidR="0066542C" w:rsidRDefault="0066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E269" w14:textId="77777777" w:rsidR="0066542C" w:rsidRDefault="0066542C" w:rsidP="00C02061">
      <w:pPr>
        <w:spacing w:after="0" w:line="240" w:lineRule="auto"/>
      </w:pPr>
      <w:r>
        <w:separator/>
      </w:r>
    </w:p>
  </w:footnote>
  <w:footnote w:type="continuationSeparator" w:id="0">
    <w:p w14:paraId="5EF70B4E" w14:textId="77777777" w:rsidR="0066542C" w:rsidRDefault="0066542C" w:rsidP="00C02061">
      <w:pPr>
        <w:spacing w:after="0" w:line="240" w:lineRule="auto"/>
      </w:pPr>
      <w:r>
        <w:continuationSeparator/>
      </w:r>
    </w:p>
  </w:footnote>
  <w:footnote w:type="continuationNotice" w:id="1">
    <w:p w14:paraId="41D21B06" w14:textId="77777777" w:rsidR="0066542C" w:rsidRDefault="00665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16357F"/>
    <w:rsid w:val="001674D3"/>
    <w:rsid w:val="002B7247"/>
    <w:rsid w:val="0033675E"/>
    <w:rsid w:val="00395D00"/>
    <w:rsid w:val="003C4E60"/>
    <w:rsid w:val="003D5A67"/>
    <w:rsid w:val="00473C6E"/>
    <w:rsid w:val="0064432B"/>
    <w:rsid w:val="0066542C"/>
    <w:rsid w:val="00671355"/>
    <w:rsid w:val="00683A2C"/>
    <w:rsid w:val="007B074A"/>
    <w:rsid w:val="007D467E"/>
    <w:rsid w:val="00865970"/>
    <w:rsid w:val="008A16BC"/>
    <w:rsid w:val="008B0134"/>
    <w:rsid w:val="008D4018"/>
    <w:rsid w:val="008F1C9E"/>
    <w:rsid w:val="009723A3"/>
    <w:rsid w:val="00A2793D"/>
    <w:rsid w:val="00A5187A"/>
    <w:rsid w:val="00AD078F"/>
    <w:rsid w:val="00AF56E3"/>
    <w:rsid w:val="00B10983"/>
    <w:rsid w:val="00B4213C"/>
    <w:rsid w:val="00B47104"/>
    <w:rsid w:val="00C02061"/>
    <w:rsid w:val="00D269A3"/>
    <w:rsid w:val="00D62F33"/>
    <w:rsid w:val="00DD3E96"/>
    <w:rsid w:val="00E675D4"/>
    <w:rsid w:val="00EB64A8"/>
    <w:rsid w:val="00EE680F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EE68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28</cp:revision>
  <dcterms:created xsi:type="dcterms:W3CDTF">2022-07-21T08:25:00Z</dcterms:created>
  <dcterms:modified xsi:type="dcterms:W3CDTF">2023-03-02T12:15:00Z</dcterms:modified>
</cp:coreProperties>
</file>