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27D5990D" w:rsidR="0082305D" w:rsidRPr="00CE3C4D" w:rsidRDefault="00162378"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Cisternový náves</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78F2B914" w:rsidR="0082305D" w:rsidRPr="00D15A06" w:rsidRDefault="00123BF1"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35AD60CC"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944E34"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300A8443"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944E34"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1E80CD8B"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r w:rsidR="002153C7" w:rsidRPr="00996C03">
        <w:rPr>
          <w:rFonts w:asciiTheme="majorHAnsi" w:hAnsiTheme="majorHAnsi" w:cstheme="majorHAnsi"/>
          <w:sz w:val="22"/>
          <w:szCs w:val="22"/>
        </w:rPr>
        <w:t xml:space="preserve"> </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EAB3497"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w:t>
      </w:r>
      <w:r w:rsidR="00D33C75">
        <w:rPr>
          <w:rFonts w:asciiTheme="majorHAnsi" w:hAnsiTheme="majorHAnsi" w:cstheme="majorHAnsi"/>
          <w:iCs/>
          <w:sz w:val="22"/>
          <w:szCs w:val="22"/>
        </w:rPr>
        <w:t>ého návesu</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107E991" w14:textId="77777777" w:rsidR="00162378" w:rsidRDefault="00162378" w:rsidP="00F376CF">
      <w:pPr>
        <w:spacing w:after="120"/>
        <w:jc w:val="both"/>
        <w:rPr>
          <w:rFonts w:asciiTheme="majorHAnsi" w:hAnsiTheme="majorHAnsi" w:cstheme="majorHAnsi"/>
          <w:sz w:val="22"/>
          <w:szCs w:val="22"/>
        </w:rPr>
      </w:pPr>
      <w:r w:rsidRPr="00162378">
        <w:rPr>
          <w:rFonts w:asciiTheme="majorHAnsi" w:hAnsiTheme="majorHAnsi" w:cstheme="majorHAnsi"/>
          <w:sz w:val="22"/>
          <w:szCs w:val="22"/>
        </w:rPr>
        <w:t>34223000-6 – Prívesy a návesy</w:t>
      </w:r>
    </w:p>
    <w:p w14:paraId="35B29A9A" w14:textId="3172ED57"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07408312"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162378">
        <w:rPr>
          <w:rFonts w:asciiTheme="majorHAnsi" w:hAnsiTheme="majorHAnsi" w:cstheme="majorHAnsi"/>
          <w:sz w:val="22"/>
          <w:szCs w:val="22"/>
        </w:rPr>
        <w:t>413 500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02916436"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944E34">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4C5363D7"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 </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7CBEE448"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944E34">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42488F13"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15E3" w14:textId="77777777" w:rsidR="00BA41CF" w:rsidRDefault="00BA41CF">
      <w:r>
        <w:separator/>
      </w:r>
    </w:p>
  </w:endnote>
  <w:endnote w:type="continuationSeparator" w:id="0">
    <w:p w14:paraId="0FFA364A" w14:textId="77777777" w:rsidR="00BA41CF" w:rsidRDefault="00BA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41C2" w14:textId="77777777" w:rsidR="00BA41CF" w:rsidRDefault="00BA41CF">
      <w:r>
        <w:separator/>
      </w:r>
    </w:p>
  </w:footnote>
  <w:footnote w:type="continuationSeparator" w:id="0">
    <w:p w14:paraId="2A4AB91F" w14:textId="77777777" w:rsidR="00BA41CF" w:rsidRDefault="00BA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133C1"/>
    <w:rsid w:val="00013C76"/>
    <w:rsid w:val="00040641"/>
    <w:rsid w:val="0004292C"/>
    <w:rsid w:val="000454B4"/>
    <w:rsid w:val="00050F8C"/>
    <w:rsid w:val="00072AF5"/>
    <w:rsid w:val="0008457A"/>
    <w:rsid w:val="000936AF"/>
    <w:rsid w:val="000A1657"/>
    <w:rsid w:val="000A2023"/>
    <w:rsid w:val="000E1D98"/>
    <w:rsid w:val="000F3949"/>
    <w:rsid w:val="000F6BC5"/>
    <w:rsid w:val="00123BF1"/>
    <w:rsid w:val="00162378"/>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B0E7B"/>
    <w:rsid w:val="002B12C6"/>
    <w:rsid w:val="002D3CE2"/>
    <w:rsid w:val="002F2F20"/>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6F53AA"/>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2A45"/>
    <w:rsid w:val="008D6FFF"/>
    <w:rsid w:val="00900FA0"/>
    <w:rsid w:val="00914688"/>
    <w:rsid w:val="0093514D"/>
    <w:rsid w:val="00944E34"/>
    <w:rsid w:val="0096131A"/>
    <w:rsid w:val="009662B9"/>
    <w:rsid w:val="00981771"/>
    <w:rsid w:val="00996C03"/>
    <w:rsid w:val="009C2D17"/>
    <w:rsid w:val="009C65A1"/>
    <w:rsid w:val="009D3EA0"/>
    <w:rsid w:val="009D6A3B"/>
    <w:rsid w:val="009E4594"/>
    <w:rsid w:val="009F2A75"/>
    <w:rsid w:val="00A27CB7"/>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A41CF"/>
    <w:rsid w:val="00BC418C"/>
    <w:rsid w:val="00BC61AE"/>
    <w:rsid w:val="00BC70AB"/>
    <w:rsid w:val="00BD6908"/>
    <w:rsid w:val="00C00538"/>
    <w:rsid w:val="00C11B4C"/>
    <w:rsid w:val="00C45F80"/>
    <w:rsid w:val="00C92245"/>
    <w:rsid w:val="00CB24F7"/>
    <w:rsid w:val="00CB4CC7"/>
    <w:rsid w:val="00CD7321"/>
    <w:rsid w:val="00CE233C"/>
    <w:rsid w:val="00CE3C4D"/>
    <w:rsid w:val="00D10C06"/>
    <w:rsid w:val="00D15A06"/>
    <w:rsid w:val="00D33C75"/>
    <w:rsid w:val="00D45439"/>
    <w:rsid w:val="00D65E6D"/>
    <w:rsid w:val="00D7288F"/>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2687</Words>
  <Characters>15320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15</cp:revision>
  <cp:lastPrinted>2018-04-05T09:44:00Z</cp:lastPrinted>
  <dcterms:created xsi:type="dcterms:W3CDTF">2023-02-15T16:50:00Z</dcterms:created>
  <dcterms:modified xsi:type="dcterms:W3CDTF">2023-04-03T11:21:00Z</dcterms:modified>
  <cp:category/>
</cp:coreProperties>
</file>