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3C37E2">
        <w:rPr>
          <w:rFonts w:asciiTheme="minorHAnsi" w:hAnsiTheme="minorHAnsi"/>
          <w:b w:val="0"/>
          <w:bCs w:val="0"/>
          <w:sz w:val="22"/>
          <w:szCs w:val="22"/>
        </w:rPr>
        <w:t>9</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58465C">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5C509C" w:rsidRDefault="00491769" w:rsidP="003C37E2">
      <w:pPr>
        <w:pStyle w:val="Normlnweb"/>
        <w:numPr>
          <w:ilvl w:val="0"/>
          <w:numId w:val="6"/>
        </w:numPr>
        <w:tabs>
          <w:tab w:val="clear" w:pos="1440"/>
          <w:tab w:val="num" w:pos="1134"/>
        </w:tabs>
        <w:spacing w:before="0" w:beforeAutospacing="0" w:after="0" w:afterAutospacing="0" w:line="276" w:lineRule="auto"/>
        <w:ind w:left="426" w:hanging="426"/>
        <w:jc w:val="both"/>
        <w:rPr>
          <w:rFonts w:asciiTheme="minorHAnsi" w:hAnsiTheme="minorHAnsi"/>
          <w:sz w:val="22"/>
          <w:szCs w:val="22"/>
        </w:rPr>
      </w:pPr>
      <w:r w:rsidRPr="005C509C">
        <w:rPr>
          <w:rFonts w:asciiTheme="minorHAnsi" w:hAnsiTheme="minorHAnsi"/>
          <w:sz w:val="22"/>
          <w:szCs w:val="22"/>
        </w:rPr>
        <w:t>Zbožím dodávaným na základě této smlouvy j</w:t>
      </w:r>
      <w:r w:rsidR="00782B37" w:rsidRPr="005C509C">
        <w:rPr>
          <w:rFonts w:asciiTheme="minorHAnsi" w:hAnsiTheme="minorHAnsi"/>
          <w:sz w:val="22"/>
          <w:szCs w:val="22"/>
        </w:rPr>
        <w:t>sou</w:t>
      </w:r>
      <w:r w:rsidR="0058465C">
        <w:rPr>
          <w:rFonts w:asciiTheme="minorHAnsi" w:hAnsiTheme="minorHAnsi"/>
          <w:bCs/>
          <w:sz w:val="22"/>
          <w:szCs w:val="22"/>
        </w:rPr>
        <w:t xml:space="preserve"> d</w:t>
      </w:r>
      <w:r w:rsidR="005C509C" w:rsidRPr="005C509C">
        <w:rPr>
          <w:rFonts w:asciiTheme="minorHAnsi" w:hAnsiTheme="minorHAnsi"/>
          <w:color w:val="000000"/>
          <w:sz w:val="22"/>
          <w:szCs w:val="22"/>
        </w:rPr>
        <w:t xml:space="preserve">íly topení, </w:t>
      </w:r>
      <w:r w:rsidR="005C509C" w:rsidRPr="0058465C">
        <w:rPr>
          <w:rFonts w:asciiTheme="minorHAnsi" w:hAnsiTheme="minorHAnsi"/>
          <w:bCs/>
          <w:sz w:val="22"/>
          <w:szCs w:val="22"/>
        </w:rPr>
        <w:t>klimatizací</w:t>
      </w:r>
      <w:r w:rsidR="0058465C" w:rsidRPr="0058465C">
        <w:rPr>
          <w:rFonts w:asciiTheme="minorHAnsi" w:hAnsiTheme="minorHAnsi"/>
          <w:bCs/>
          <w:sz w:val="22"/>
          <w:szCs w:val="22"/>
        </w:rPr>
        <w:t xml:space="preserve"> </w:t>
      </w:r>
      <w:proofErr w:type="spellStart"/>
      <w:r w:rsidR="0058465C" w:rsidRPr="0058465C">
        <w:rPr>
          <w:rFonts w:asciiTheme="minorHAnsi" w:hAnsiTheme="minorHAnsi"/>
          <w:bCs/>
          <w:sz w:val="22"/>
          <w:szCs w:val="22"/>
        </w:rPr>
        <w:t>Eberspächer</w:t>
      </w:r>
      <w:proofErr w:type="spellEnd"/>
      <w:r w:rsidR="00CD09C6" w:rsidRPr="005C509C">
        <w:rPr>
          <w:rFonts w:asciiTheme="minorHAnsi" w:hAnsiTheme="minorHAnsi"/>
          <w:bCs/>
          <w:sz w:val="22"/>
          <w:szCs w:val="22"/>
        </w:rPr>
        <w:t xml:space="preserve">. </w:t>
      </w:r>
      <w:r w:rsidR="00CD09C6" w:rsidRPr="005C509C">
        <w:rPr>
          <w:rFonts w:asciiTheme="minorHAnsi" w:hAnsiTheme="minorHAnsi"/>
          <w:sz w:val="22"/>
          <w:szCs w:val="22"/>
        </w:rPr>
        <w:t xml:space="preserve">Specifikace a ceny zboží jsou uvedeny v příloze č. </w:t>
      </w:r>
      <w:r w:rsidR="001611D3" w:rsidRPr="005C509C">
        <w:rPr>
          <w:rFonts w:asciiTheme="minorHAnsi" w:hAnsiTheme="minorHAnsi"/>
          <w:sz w:val="22"/>
          <w:szCs w:val="22"/>
        </w:rPr>
        <w:t>1</w:t>
      </w:r>
      <w:r w:rsidR="0058465C">
        <w:rPr>
          <w:rFonts w:asciiTheme="minorHAnsi" w:hAnsiTheme="minorHAnsi"/>
          <w:sz w:val="22"/>
          <w:szCs w:val="22"/>
        </w:rPr>
        <w:t xml:space="preserve"> </w:t>
      </w:r>
      <w:r w:rsidR="00CD09C6" w:rsidRPr="005C509C">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5C509C">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 xml:space="preserve">Celková kupní cena je stanovena dohodou smluvních stran a </w:t>
      </w:r>
      <w:r w:rsidR="00093DE2" w:rsidRPr="0034405B">
        <w:rPr>
          <w:rFonts w:asciiTheme="minorHAnsi" w:hAnsiTheme="minorHAnsi"/>
          <w:sz w:val="22"/>
          <w:szCs w:val="22"/>
        </w:rPr>
        <w:t>činí</w:t>
      </w:r>
      <w:r w:rsidR="00093DE2">
        <w:rPr>
          <w:rFonts w:asciiTheme="minorHAnsi" w:hAnsiTheme="minorHAnsi"/>
          <w:sz w:val="22"/>
          <w:szCs w:val="22"/>
        </w:rPr>
        <w:t xml:space="preserve"> </w:t>
      </w:r>
      <w:r w:rsidR="005C509C">
        <w:rPr>
          <w:rFonts w:asciiTheme="minorHAnsi" w:hAnsiTheme="minorHAnsi"/>
          <w:sz w:val="22"/>
          <w:szCs w:val="22"/>
        </w:rPr>
        <w:t>300 000</w:t>
      </w:r>
      <w:r w:rsidR="00A05076">
        <w:rPr>
          <w:rFonts w:asciiTheme="minorHAnsi" w:hAnsiTheme="minorHAnsi"/>
          <w:sz w:val="22"/>
          <w:szCs w:val="22"/>
        </w:rPr>
        <w:t xml:space="preserve"> </w:t>
      </w:r>
      <w:r w:rsidRPr="0034405B">
        <w:rPr>
          <w:rFonts w:asciiTheme="minorHAnsi" w:hAnsiTheme="minorHAnsi"/>
          <w:sz w:val="22"/>
          <w:szCs w:val="22"/>
        </w:rPr>
        <w:t>Kč (slovy:</w:t>
      </w:r>
      <w:r w:rsidR="00A52CDD">
        <w:rPr>
          <w:rFonts w:asciiTheme="minorHAnsi" w:hAnsiTheme="minorHAnsi"/>
          <w:sz w:val="22"/>
          <w:szCs w:val="22"/>
        </w:rPr>
        <w:t xml:space="preserve"> </w:t>
      </w:r>
      <w:r w:rsidR="005C509C" w:rsidRPr="005C509C">
        <w:rPr>
          <w:rFonts w:asciiTheme="minorHAnsi" w:hAnsiTheme="minorHAnsi"/>
          <w:sz w:val="22"/>
          <w:szCs w:val="22"/>
        </w:rPr>
        <w:t>tři sta tisíc korun českých</w:t>
      </w:r>
      <w:r w:rsidR="00D529D5">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5C509C">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5C509C">
        <w:rPr>
          <w:rFonts w:asciiTheme="minorHAnsi" w:hAnsiTheme="minorHAnsi"/>
          <w:sz w:val="22"/>
          <w:szCs w:val="22"/>
        </w:rPr>
        <w:t>300 000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5C509C" w:rsidRPr="005C509C">
        <w:rPr>
          <w:rFonts w:asciiTheme="minorHAnsi" w:hAnsiTheme="minorHAnsi"/>
          <w:sz w:val="22"/>
          <w:szCs w:val="22"/>
        </w:rPr>
        <w:t>tři sta tisíc korun českých</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5C509C">
        <w:rPr>
          <w:rFonts w:asciiTheme="minorHAnsi" w:hAnsiTheme="minorHAnsi"/>
          <w:sz w:val="22"/>
          <w:szCs w:val="22"/>
        </w:rPr>
        <w:t>2</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5C6A50" w:rsidRPr="00983BEF" w:rsidRDefault="005C6A50" w:rsidP="005C196A">
      <w:pPr>
        <w:spacing w:line="276" w:lineRule="auto"/>
        <w:jc w:val="both"/>
        <w:rPr>
          <w:rFonts w:asciiTheme="minorHAnsi" w:hAnsiTheme="minorHAnsi"/>
          <w:sz w:val="22"/>
          <w:szCs w:val="22"/>
        </w:rPr>
      </w:pPr>
    </w:p>
    <w:p w:rsidR="005C6A50" w:rsidRPr="00983BEF" w:rsidRDefault="005C6A50" w:rsidP="005C196A">
      <w:pPr>
        <w:spacing w:line="276" w:lineRule="auto"/>
        <w:jc w:val="both"/>
        <w:rPr>
          <w:rFonts w:asciiTheme="minorHAnsi" w:hAnsiTheme="minorHAnsi"/>
          <w:sz w:val="22"/>
          <w:szCs w:val="22"/>
        </w:rPr>
      </w:pPr>
    </w:p>
    <w:p w:rsidR="005C6A50" w:rsidRPr="00983BEF" w:rsidRDefault="005C6A50" w:rsidP="005C196A">
      <w:pPr>
        <w:spacing w:line="276" w:lineRule="auto"/>
        <w:jc w:val="both"/>
        <w:rPr>
          <w:rFonts w:asciiTheme="minorHAnsi" w:hAnsiTheme="minorHAnsi"/>
          <w:sz w:val="22"/>
          <w:szCs w:val="22"/>
        </w:rPr>
      </w:pPr>
    </w:p>
    <w:p w:rsidR="00261720" w:rsidRDefault="00261720" w:rsidP="0026647A">
      <w:pPr>
        <w:spacing w:line="276" w:lineRule="auto"/>
        <w:rPr>
          <w:rFonts w:asciiTheme="minorHAnsi" w:hAnsiTheme="minorHAnsi"/>
          <w:b/>
          <w:bCs/>
          <w:sz w:val="22"/>
          <w:szCs w:val="22"/>
        </w:rPr>
      </w:pPr>
    </w:p>
    <w:p w:rsidR="00D529D5" w:rsidRDefault="00D529D5"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w:t>
      </w:r>
      <w:r w:rsidR="00321AE8">
        <w:rPr>
          <w:rFonts w:asciiTheme="minorHAnsi" w:hAnsiTheme="minorHAnsi"/>
          <w:sz w:val="22"/>
          <w:szCs w:val="22"/>
        </w:rPr>
        <w:t>zavírá na dobu určitou</w:t>
      </w:r>
      <w:r w:rsidR="0058465C">
        <w:rPr>
          <w:rFonts w:asciiTheme="minorHAnsi" w:hAnsiTheme="minorHAnsi"/>
          <w:sz w:val="22"/>
          <w:szCs w:val="22"/>
        </w:rPr>
        <w:t>,</w:t>
      </w:r>
      <w:r w:rsidR="00321AE8">
        <w:rPr>
          <w:rFonts w:asciiTheme="minorHAnsi" w:hAnsiTheme="minorHAnsi"/>
          <w:sz w:val="22"/>
          <w:szCs w:val="22"/>
        </w:rPr>
        <w:t xml:space="preserve"> a to na 1</w:t>
      </w:r>
      <w:r>
        <w:rPr>
          <w:rFonts w:asciiTheme="minorHAnsi" w:hAnsiTheme="minorHAnsi"/>
          <w:sz w:val="22"/>
          <w:szCs w:val="22"/>
        </w:rPr>
        <w:t xml:space="preserve"> rok</w:t>
      </w:r>
      <w:r w:rsidR="00CA3ADB">
        <w:rPr>
          <w:rFonts w:asciiTheme="minorHAnsi" w:hAnsiTheme="minorHAnsi"/>
          <w:sz w:val="22"/>
          <w:szCs w:val="22"/>
        </w:rPr>
        <w:t xml:space="preserve"> od</w:t>
      </w:r>
      <w:r>
        <w:rPr>
          <w:rFonts w:asciiTheme="minorHAnsi" w:hAnsiTheme="minorHAnsi"/>
          <w:sz w:val="22"/>
          <w:szCs w:val="22"/>
        </w:rPr>
        <w:t xml:space="preserve"> </w:t>
      </w:r>
      <w:r w:rsidR="00CA3ADB">
        <w:rPr>
          <w:rFonts w:asciiTheme="minorHAnsi" w:hAnsiTheme="minorHAnsi"/>
          <w:sz w:val="22"/>
          <w:szCs w:val="22"/>
        </w:rPr>
        <w:t>účinnosti</w:t>
      </w:r>
      <w:r w:rsidR="0050269C">
        <w:rPr>
          <w:rFonts w:asciiTheme="minorHAnsi" w:hAnsiTheme="minorHAnsi"/>
          <w:sz w:val="22"/>
          <w:szCs w:val="22"/>
        </w:rPr>
        <w:t xml:space="preserve"> 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5C6A50" w:rsidRPr="0058465C" w:rsidRDefault="00261720" w:rsidP="0058465C">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bookmarkStart w:id="0" w:name="_GoBack"/>
      <w:bookmarkEnd w:id="0"/>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58465C" w:rsidRDefault="00C8196F" w:rsidP="0058465C">
      <w:pPr>
        <w:numPr>
          <w:ilvl w:val="0"/>
          <w:numId w:val="3"/>
        </w:numPr>
        <w:tabs>
          <w:tab w:val="clear" w:pos="375"/>
        </w:tabs>
        <w:spacing w:line="276" w:lineRule="auto"/>
        <w:ind w:left="426" w:hanging="426"/>
        <w:jc w:val="both"/>
        <w:rPr>
          <w:rFonts w:asciiTheme="minorHAnsi" w:hAnsiTheme="minorHAnsi"/>
          <w:iCs/>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58465C">
        <w:rPr>
          <w:rFonts w:asciiTheme="minorHAnsi" w:hAnsiTheme="minorHAnsi"/>
          <w:iCs/>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58465C" w:rsidRDefault="00093877" w:rsidP="0058465C">
      <w:pPr>
        <w:numPr>
          <w:ilvl w:val="0"/>
          <w:numId w:val="3"/>
        </w:numPr>
        <w:tabs>
          <w:tab w:val="clear" w:pos="375"/>
        </w:tabs>
        <w:spacing w:line="276" w:lineRule="auto"/>
        <w:ind w:left="426" w:hanging="426"/>
        <w:jc w:val="both"/>
        <w:rPr>
          <w:rFonts w:asciiTheme="minorHAnsi" w:hAnsiTheme="minorHAnsi"/>
          <w:iCs/>
          <w:sz w:val="22"/>
          <w:szCs w:val="22"/>
        </w:rPr>
      </w:pPr>
      <w:r w:rsidRPr="0058465C">
        <w:rPr>
          <w:rFonts w:asciiTheme="minorHAnsi" w:hAnsiTheme="minorHAnsi"/>
          <w:iCs/>
          <w:sz w:val="22"/>
          <w:szCs w:val="22"/>
        </w:rPr>
        <w:t xml:space="preserve"> </w:t>
      </w:r>
      <w:r w:rsidR="000B2BA0" w:rsidRPr="0058465C">
        <w:rPr>
          <w:rFonts w:asciiTheme="minorHAnsi" w:hAnsiTheme="minorHAnsi"/>
          <w:iCs/>
          <w:sz w:val="22"/>
          <w:szCs w:val="22"/>
        </w:rPr>
        <w:t xml:space="preserve">Smlouva nabude účinnosti dnem jejího uveřejnění dle zákona č. 340/2015 Sb., o zvláštních podmínkách účinnosti některých smluv, uveřejňování těchto smluv a o registru smluv.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58465C">
        <w:rPr>
          <w:rFonts w:asciiTheme="minorHAnsi" w:hAnsiTheme="minorHAnsi"/>
          <w:iCs/>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58465C" w:rsidRDefault="00AD3087" w:rsidP="0058465C">
      <w:pPr>
        <w:numPr>
          <w:ilvl w:val="0"/>
          <w:numId w:val="3"/>
        </w:numPr>
        <w:tabs>
          <w:tab w:val="clear" w:pos="375"/>
        </w:tabs>
        <w:spacing w:line="276" w:lineRule="auto"/>
        <w:ind w:left="426" w:hanging="426"/>
        <w:jc w:val="both"/>
        <w:rPr>
          <w:rFonts w:asciiTheme="minorHAnsi" w:hAnsiTheme="minorHAnsi"/>
          <w:iCs/>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A54" w:rsidRDefault="00C32A54">
      <w:r>
        <w:separator/>
      </w:r>
    </w:p>
  </w:endnote>
  <w:endnote w:type="continuationSeparator" w:id="0">
    <w:p w:rsidR="00C32A54" w:rsidRDefault="00C3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58465C">
              <w:rPr>
                <w:rFonts w:asciiTheme="minorHAnsi" w:hAnsiTheme="minorHAnsi"/>
                <w:b/>
                <w:bCs/>
                <w:noProof/>
                <w:sz w:val="20"/>
                <w:szCs w:val="20"/>
              </w:rPr>
              <w:t>1</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58465C">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A54" w:rsidRDefault="00C32A54">
      <w:r>
        <w:separator/>
      </w:r>
    </w:p>
  </w:footnote>
  <w:footnote w:type="continuationSeparator" w:id="0">
    <w:p w:rsidR="00C32A54" w:rsidRDefault="00C32A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0"/>
  </w:num>
  <w:num w:numId="4">
    <w:abstractNumId w:val="4"/>
  </w:num>
  <w:num w:numId="5">
    <w:abstractNumId w:val="14"/>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5"/>
  </w:num>
  <w:num w:numId="11">
    <w:abstractNumId w:val="9"/>
  </w:num>
  <w:num w:numId="12">
    <w:abstractNumId w:val="10"/>
  </w:num>
  <w:num w:numId="13">
    <w:abstractNumId w:val="2"/>
  </w:num>
  <w:num w:numId="14">
    <w:abstractNumId w:val="8"/>
  </w:num>
  <w:num w:numId="15">
    <w:abstractNumId w:val="15"/>
  </w:num>
  <w:num w:numId="16">
    <w:abstractNumId w:val="7"/>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3DE2"/>
    <w:rsid w:val="00095ADD"/>
    <w:rsid w:val="00097891"/>
    <w:rsid w:val="000A02F7"/>
    <w:rsid w:val="000A06E3"/>
    <w:rsid w:val="000A2DDC"/>
    <w:rsid w:val="000A5806"/>
    <w:rsid w:val="000B2BA0"/>
    <w:rsid w:val="000C2D02"/>
    <w:rsid w:val="000C323D"/>
    <w:rsid w:val="000C387C"/>
    <w:rsid w:val="000C62B7"/>
    <w:rsid w:val="000C6359"/>
    <w:rsid w:val="000D1A6B"/>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21AE8"/>
    <w:rsid w:val="00330F35"/>
    <w:rsid w:val="0033284B"/>
    <w:rsid w:val="0034130A"/>
    <w:rsid w:val="0035494F"/>
    <w:rsid w:val="003565C2"/>
    <w:rsid w:val="00363200"/>
    <w:rsid w:val="00367190"/>
    <w:rsid w:val="00370EB6"/>
    <w:rsid w:val="00372231"/>
    <w:rsid w:val="0039006B"/>
    <w:rsid w:val="003B24FD"/>
    <w:rsid w:val="003B78E5"/>
    <w:rsid w:val="003C31D9"/>
    <w:rsid w:val="003C37E2"/>
    <w:rsid w:val="003C4DED"/>
    <w:rsid w:val="003C6B09"/>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6241B"/>
    <w:rsid w:val="004660CD"/>
    <w:rsid w:val="00466693"/>
    <w:rsid w:val="00471AE1"/>
    <w:rsid w:val="00483AB3"/>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8465C"/>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509C"/>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6A62"/>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17FD6"/>
    <w:rsid w:val="00A2031E"/>
    <w:rsid w:val="00A225F5"/>
    <w:rsid w:val="00A226B9"/>
    <w:rsid w:val="00A23CB4"/>
    <w:rsid w:val="00A30AD4"/>
    <w:rsid w:val="00A434D1"/>
    <w:rsid w:val="00A43F03"/>
    <w:rsid w:val="00A50047"/>
    <w:rsid w:val="00A52CDD"/>
    <w:rsid w:val="00A6157C"/>
    <w:rsid w:val="00A63564"/>
    <w:rsid w:val="00A729A1"/>
    <w:rsid w:val="00A82ACA"/>
    <w:rsid w:val="00A86282"/>
    <w:rsid w:val="00A91CCB"/>
    <w:rsid w:val="00AA26B1"/>
    <w:rsid w:val="00AA3AF9"/>
    <w:rsid w:val="00AA73DD"/>
    <w:rsid w:val="00AB05B2"/>
    <w:rsid w:val="00AB0FCE"/>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2EE4"/>
    <w:rsid w:val="00C0005E"/>
    <w:rsid w:val="00C06154"/>
    <w:rsid w:val="00C10849"/>
    <w:rsid w:val="00C17B2B"/>
    <w:rsid w:val="00C22DCA"/>
    <w:rsid w:val="00C2344A"/>
    <w:rsid w:val="00C25183"/>
    <w:rsid w:val="00C25D7C"/>
    <w:rsid w:val="00C300C0"/>
    <w:rsid w:val="00C31421"/>
    <w:rsid w:val="00C32A54"/>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0D45"/>
    <w:rsid w:val="00CA2355"/>
    <w:rsid w:val="00CA3ADB"/>
    <w:rsid w:val="00CA54DC"/>
    <w:rsid w:val="00CA78D4"/>
    <w:rsid w:val="00CB5592"/>
    <w:rsid w:val="00CC2BCD"/>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9D5"/>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C34C4"/>
    <w:rsid w:val="00EC3DC9"/>
    <w:rsid w:val="00EC4069"/>
    <w:rsid w:val="00EC76FA"/>
    <w:rsid w:val="00EC7EDE"/>
    <w:rsid w:val="00ED043B"/>
    <w:rsid w:val="00ED4361"/>
    <w:rsid w:val="00ED585C"/>
    <w:rsid w:val="00ED658A"/>
    <w:rsid w:val="00EE0C6F"/>
    <w:rsid w:val="00EE1B8F"/>
    <w:rsid w:val="00EE2972"/>
    <w:rsid w:val="00EE32FC"/>
    <w:rsid w:val="00EE34DF"/>
    <w:rsid w:val="00F05E82"/>
    <w:rsid w:val="00F0729E"/>
    <w:rsid w:val="00F113C7"/>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F4E17-B517-450A-BB83-C6DCD657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1279</Words>
  <Characters>7367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47</cp:revision>
  <cp:lastPrinted>2016-12-23T06:32:00Z</cp:lastPrinted>
  <dcterms:created xsi:type="dcterms:W3CDTF">2018-05-10T10:31:00Z</dcterms:created>
  <dcterms:modified xsi:type="dcterms:W3CDTF">2019-06-17T11:53:00Z</dcterms:modified>
</cp:coreProperties>
</file>