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E472" w14:textId="77777777" w:rsidR="007A037B" w:rsidRPr="00DF3BB3" w:rsidRDefault="007A037B" w:rsidP="007A037B">
      <w:pPr>
        <w:spacing w:after="120"/>
        <w:contextualSpacing/>
        <w:jc w:val="center"/>
        <w:rPr>
          <w:rFonts w:ascii="Arial Narrow" w:hAnsi="Arial Narrow"/>
          <w:b/>
        </w:rPr>
      </w:pPr>
      <w:r w:rsidRPr="00DF3BB3">
        <w:rPr>
          <w:rFonts w:ascii="Arial Narrow" w:hAnsi="Arial Narrow"/>
          <w:b/>
        </w:rPr>
        <w:t>Zmluva č. XXX</w:t>
      </w:r>
    </w:p>
    <w:p w14:paraId="3411B279" w14:textId="2562A0EE" w:rsidR="007A037B" w:rsidRPr="00DF3BB3" w:rsidRDefault="007A037B" w:rsidP="007A037B">
      <w:pPr>
        <w:contextualSpacing/>
        <w:jc w:val="center"/>
        <w:rPr>
          <w:rFonts w:ascii="Arial Narrow" w:hAnsi="Arial Narrow" w:cs="Arial"/>
          <w:b/>
          <w:noProof/>
          <w:lang w:eastAsia="sk-SK"/>
        </w:rPr>
      </w:pPr>
      <w:r w:rsidRPr="00DF3BB3">
        <w:rPr>
          <w:rFonts w:ascii="Arial Narrow" w:hAnsi="Arial Narrow" w:cs="Arial"/>
          <w:b/>
          <w:noProof/>
          <w:lang w:eastAsia="sk-SK"/>
        </w:rPr>
        <w:t xml:space="preserve">o dodávke </w:t>
      </w:r>
      <w:r>
        <w:rPr>
          <w:rFonts w:ascii="Arial Narrow" w:hAnsi="Arial Narrow" w:cs="Arial"/>
          <w:b/>
          <w:noProof/>
          <w:lang w:eastAsia="sk-SK"/>
        </w:rPr>
        <w:t>plynu a</w:t>
      </w:r>
      <w:r w:rsidRPr="00DF3BB3">
        <w:rPr>
          <w:rFonts w:ascii="Arial Narrow" w:hAnsi="Arial Narrow" w:cs="Arial"/>
          <w:b/>
          <w:noProof/>
          <w:lang w:eastAsia="sk-SK"/>
        </w:rPr>
        <w:t xml:space="preserve"> zabezpečení distribúcie </w:t>
      </w:r>
      <w:r>
        <w:rPr>
          <w:rFonts w:ascii="Arial Narrow" w:hAnsi="Arial Narrow" w:cs="Arial"/>
          <w:b/>
          <w:noProof/>
          <w:lang w:eastAsia="sk-SK"/>
        </w:rPr>
        <w:t>plynu</w:t>
      </w:r>
    </w:p>
    <w:p w14:paraId="4F7551AE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</w:p>
    <w:p w14:paraId="709E8572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4A63A587" w14:textId="77777777" w:rsidR="00104F44" w:rsidRPr="008F2C50" w:rsidRDefault="00104F44" w:rsidP="00104F44">
      <w:pPr>
        <w:spacing w:after="0" w:line="240" w:lineRule="auto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Zmluvné strany:</w:t>
      </w:r>
    </w:p>
    <w:p w14:paraId="6BD20FB2" w14:textId="77777777" w:rsidR="00104F44" w:rsidRPr="008F2C50" w:rsidRDefault="00104F44" w:rsidP="00104F44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74B10FD4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</w:p>
    <w:p w14:paraId="47B93512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Obchodné meno: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735D386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Miesto podnikania: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700894E" w14:textId="77777777" w:rsidR="00104F44" w:rsidRPr="008F2C50" w:rsidRDefault="00104F44" w:rsidP="00104F44">
      <w:pPr>
        <w:widowControl w:val="0"/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Zapísaný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4AA05611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412B720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DIČ: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D07FE25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IČ DPH: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16ADC223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Bankové spojenie: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2FD7363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7040590E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Zastúpený: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FA561D9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</w:rPr>
        <w:t>Telefónne číslo: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6A7B419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AB4FD12" w14:textId="77777777" w:rsidR="00104F44" w:rsidRPr="008F2C50" w:rsidRDefault="00104F44" w:rsidP="00104F44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len ,,</w:t>
      </w:r>
      <w:r>
        <w:rPr>
          <w:rFonts w:ascii="Arial Narrow" w:hAnsi="Arial Narrow"/>
          <w:b/>
          <w:bCs/>
          <w:i/>
          <w:iCs/>
        </w:rPr>
        <w:t>Poskytovateľ</w:t>
      </w:r>
      <w:r w:rsidRPr="008F2C50">
        <w:rPr>
          <w:rFonts w:ascii="Arial Narrow" w:hAnsi="Arial Narrow"/>
        </w:rPr>
        <w:t>“)</w:t>
      </w:r>
    </w:p>
    <w:p w14:paraId="6C5D7B25" w14:textId="77777777" w:rsidR="00104F44" w:rsidRPr="008F2C50" w:rsidRDefault="00104F44" w:rsidP="00104F44">
      <w:pPr>
        <w:widowControl w:val="0"/>
        <w:spacing w:line="274" w:lineRule="auto"/>
        <w:jc w:val="center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a</w:t>
      </w:r>
    </w:p>
    <w:p w14:paraId="594A31F3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bjednávateľ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</w:p>
    <w:p w14:paraId="0E6B2CB1" w14:textId="77777777" w:rsidR="00104F44" w:rsidRPr="008F2C50" w:rsidRDefault="00104F44" w:rsidP="00104F44">
      <w:pPr>
        <w:widowControl w:val="0"/>
        <w:spacing w:line="274" w:lineRule="auto"/>
        <w:ind w:left="2835" w:hanging="2835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Názov: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Datacentrum</w:t>
      </w:r>
    </w:p>
    <w:p w14:paraId="409E4DFB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So sídlom: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Cintorínska 5, 814 88 Bratislava</w:t>
      </w:r>
    </w:p>
    <w:p w14:paraId="14225B32" w14:textId="77777777" w:rsidR="00104F44" w:rsidRPr="008F2C50" w:rsidRDefault="00104F44" w:rsidP="00104F4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V mene ktorého koná: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 w:cs="Arial"/>
        </w:rPr>
        <w:t xml:space="preserve">Ing. Tibor </w:t>
      </w:r>
      <w:proofErr w:type="spellStart"/>
      <w:r w:rsidRPr="008F2C50">
        <w:rPr>
          <w:rFonts w:ascii="Arial Narrow" w:hAnsi="Arial Narrow" w:cs="Arial"/>
        </w:rPr>
        <w:t>Tarábek</w:t>
      </w:r>
      <w:proofErr w:type="spellEnd"/>
      <w:r w:rsidRPr="008F2C50">
        <w:rPr>
          <w:rFonts w:ascii="Arial Narrow" w:hAnsi="Arial Narrow" w:cs="Arial"/>
        </w:rPr>
        <w:t>, riaditeľ</w:t>
      </w:r>
    </w:p>
    <w:p w14:paraId="05114BCF" w14:textId="77777777" w:rsidR="00104F44" w:rsidRPr="008F2C50" w:rsidRDefault="00104F44" w:rsidP="00104F44">
      <w:pPr>
        <w:widowControl w:val="0"/>
        <w:tabs>
          <w:tab w:val="left" w:pos="2160"/>
        </w:tabs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Zapísaný: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rozpočtová organizácia zriadená na základe zriaďovacej listiny</w:t>
      </w:r>
    </w:p>
    <w:p w14:paraId="0395F1FC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00151564</w:t>
      </w:r>
    </w:p>
    <w:p w14:paraId="2A71035A" w14:textId="77777777" w:rsidR="00104F44" w:rsidRPr="008F2C50" w:rsidRDefault="00104F44" w:rsidP="00104F4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DIČ: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2020845079</w:t>
      </w:r>
    </w:p>
    <w:p w14:paraId="4C9A4D04" w14:textId="77777777" w:rsidR="00104F44" w:rsidRPr="008F2C50" w:rsidRDefault="00104F44" w:rsidP="00104F4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Bankové spojenie: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Štátna pokladnica</w:t>
      </w:r>
    </w:p>
    <w:p w14:paraId="56896A91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70CA2DE4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Telefónne číslo: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174F6F47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e-mail: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_________________________</w:t>
      </w:r>
    </w:p>
    <w:p w14:paraId="5D6CBC8D" w14:textId="77777777" w:rsidR="00104F44" w:rsidRPr="008F2C50" w:rsidRDefault="00104F44" w:rsidP="00104F44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ako „</w:t>
      </w:r>
      <w:r w:rsidRPr="008F2C50">
        <w:rPr>
          <w:rFonts w:ascii="Arial Narrow" w:hAnsi="Arial Narrow"/>
          <w:b/>
          <w:bCs/>
          <w:i/>
          <w:iCs/>
        </w:rPr>
        <w:t>O</w:t>
      </w:r>
      <w:r>
        <w:rPr>
          <w:rFonts w:ascii="Arial Narrow" w:hAnsi="Arial Narrow"/>
          <w:b/>
          <w:bCs/>
          <w:i/>
          <w:iCs/>
        </w:rPr>
        <w:t>bjednávateľ</w:t>
      </w:r>
      <w:r w:rsidRPr="008F2C50">
        <w:rPr>
          <w:rFonts w:ascii="Arial Narrow" w:hAnsi="Arial Narrow"/>
        </w:rPr>
        <w:t>“)</w:t>
      </w:r>
    </w:p>
    <w:p w14:paraId="5460CD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49D157FB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163331" w:rsidRPr="00CE3E37">
        <w:rPr>
          <w:rFonts w:ascii="Arial Narrow" w:hAnsi="Arial Narrow" w:cs="Times New Roman"/>
        </w:rPr>
        <w:t>plynu</w:t>
      </w:r>
      <w:r w:rsidR="006B1219">
        <w:rPr>
          <w:rFonts w:ascii="Arial Narrow" w:hAnsi="Arial Narrow" w:cs="Times New Roman"/>
        </w:rPr>
        <w:t xml:space="preserve"> a zabezpečení distribúcie 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059DCE4F" w14:textId="1200631A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4D9C5B2B" w:rsidR="00894A34" w:rsidRPr="00CE3E37" w:rsidRDefault="0033497F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3053E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104F44" w:rsidRPr="00104F44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zo dňa </w:t>
      </w:r>
      <w:r w:rsidR="00104F44" w:rsidRPr="00104F44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pod značkou </w:t>
      </w:r>
      <w:r w:rsidR="00104F44" w:rsidRPr="00104F44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93053E">
        <w:rPr>
          <w:rFonts w:ascii="Arial Narrow" w:hAnsi="Arial Narrow" w:cs="Times New Roman"/>
          <w:b/>
        </w:rPr>
        <w:t>Verejné obstarávanie</w:t>
      </w:r>
      <w:r w:rsidRPr="0093053E">
        <w:rPr>
          <w:rFonts w:ascii="Arial Narrow" w:hAnsi="Arial Narrow" w:cs="Times New Roman"/>
        </w:rPr>
        <w:t xml:space="preserve">“) podľa zák. č. 343/2015 </w:t>
      </w:r>
      <w:proofErr w:type="spellStart"/>
      <w:r w:rsidRPr="0093053E">
        <w:rPr>
          <w:rFonts w:ascii="Arial Narrow" w:hAnsi="Arial Narrow" w:cs="Times New Roman"/>
        </w:rPr>
        <w:t>Z.z</w:t>
      </w:r>
      <w:proofErr w:type="spellEnd"/>
      <w:r w:rsidRPr="0093053E">
        <w:rPr>
          <w:rFonts w:ascii="Arial Narrow" w:hAnsi="Arial Narrow" w:cs="Times New Roman"/>
        </w:rPr>
        <w:t>. o verejnom obstarávaní v znení neskorších predpisov (ďalej ako „</w:t>
      </w:r>
      <w:r w:rsidRPr="0093053E">
        <w:rPr>
          <w:rFonts w:ascii="Arial Narrow" w:hAnsi="Arial Narrow" w:cs="Times New Roman"/>
          <w:b/>
          <w:bCs/>
        </w:rPr>
        <w:t>Zákon o verejnom obstarávaní</w:t>
      </w:r>
      <w:r w:rsidRPr="0093053E">
        <w:rPr>
          <w:rFonts w:ascii="Arial Narrow" w:hAnsi="Arial Narrow" w:cs="Times New Roman"/>
        </w:rPr>
        <w:t>“)</w:t>
      </w:r>
      <w:r w:rsidRPr="00AF3241">
        <w:rPr>
          <w:rFonts w:ascii="Arial Narrow" w:hAnsi="Arial Narrow" w:cs="Times New Roman"/>
        </w:rPr>
        <w:t>. Súčasťou dokumentácie Verejného obstarávania bol opis predmetu zákazky (ďalej ako „</w:t>
      </w:r>
      <w:r w:rsidRPr="00AF3241">
        <w:rPr>
          <w:rFonts w:ascii="Arial Narrow" w:hAnsi="Arial Narrow" w:cs="Times New Roman"/>
          <w:b/>
          <w:bCs/>
        </w:rPr>
        <w:t>OPZ</w:t>
      </w:r>
      <w:r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CE3E37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1DA99D16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CE3E37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CE3E37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47FC2164" w14:textId="77777777" w:rsidR="00820F22" w:rsidRPr="00CE3E37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CE3E37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26462E87" w:rsidR="006420D6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>Zmluvné 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FA4CB3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34000C9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12AE2DEC" w:rsidR="006E025D" w:rsidRPr="00CE3E37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CE3E37">
        <w:rPr>
          <w:rFonts w:ascii="Arial Narrow" w:hAnsi="Arial Narrow" w:cs="Times New Roman"/>
        </w:rPr>
        <w:t>zúčtovateľovi</w:t>
      </w:r>
      <w:proofErr w:type="spellEnd"/>
      <w:r w:rsidRPr="00CE3E37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CE3E37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3A4C661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38817360" w14:textId="3EBE3C4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CE3E37">
        <w:rPr>
          <w:rFonts w:ascii="Arial Narrow" w:hAnsi="Arial Narrow" w:cs="Times New Roman"/>
        </w:rPr>
        <w:t>ý</w:t>
      </w:r>
      <w:r w:rsidRPr="00CE3E37">
        <w:rPr>
          <w:rFonts w:ascii="Arial Narrow" w:hAnsi="Arial Narrow" w:cs="Times New Roman"/>
        </w:rPr>
        <w:t xml:space="preserve"> </w:t>
      </w:r>
      <w:r w:rsidR="00163331" w:rsidRPr="00CE3E37">
        <w:rPr>
          <w:rFonts w:ascii="Arial Narrow" w:hAnsi="Arial Narrow" w:cs="Times New Roman"/>
        </w:rPr>
        <w:t xml:space="preserve">plyn </w:t>
      </w:r>
      <w:r w:rsidRPr="00CE3E37">
        <w:rPr>
          <w:rFonts w:ascii="Arial Narrow" w:hAnsi="Arial Narrow" w:cs="Times New Roman"/>
        </w:rPr>
        <w:t xml:space="preserve">u, resp. akúkoľvek inú obdobnú platbu, ak Objednávateľ na základe Zmluvy odoberie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CE3E37">
        <w:rPr>
          <w:rFonts w:ascii="Arial Narrow" w:hAnsi="Arial Narrow" w:cs="Times New Roman"/>
        </w:rPr>
        <w:t>e</w:t>
      </w:r>
      <w:r w:rsidRPr="00CE3E37">
        <w:rPr>
          <w:rFonts w:ascii="Arial Narrow" w:hAnsi="Arial Narrow" w:cs="Times New Roman"/>
          <w:shd w:val="clear" w:color="auto" w:fill="FFFFFF"/>
        </w:rPr>
        <w:t>;</w:t>
      </w:r>
      <w:r w:rsidRPr="00CE3E37">
        <w:rPr>
          <w:rFonts w:ascii="Arial Narrow" w:hAnsi="Arial Narrow" w:cs="Times New Roman"/>
        </w:rPr>
        <w:t xml:space="preserve"> </w:t>
      </w:r>
    </w:p>
    <w:p w14:paraId="3C5CAB32" w14:textId="0975AF5F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distribuovať a 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dohodnutý v </w:t>
      </w:r>
      <w:r w:rsidR="006420D6" w:rsidRPr="00CE3E37">
        <w:rPr>
          <w:rFonts w:ascii="Arial Narrow" w:hAnsi="Arial Narrow" w:cs="Times New Roman"/>
        </w:rPr>
        <w:t>tejto</w:t>
      </w:r>
      <w:r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až do výšky 120% z objednaného objemu </w:t>
      </w:r>
      <w:r w:rsidR="00891F25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</w:t>
      </w:r>
      <w:r w:rsidRPr="00CE3E37">
        <w:rPr>
          <w:rFonts w:ascii="Arial Narrow" w:hAnsi="Arial Narrow" w:cs="Times New Roman"/>
        </w:rPr>
        <w:lastRenderedPageBreak/>
        <w:t xml:space="preserve">ceny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za obdobie, v ktorom došlo k prekročeniu</w:t>
      </w:r>
      <w:r w:rsidR="00F25778" w:rsidRPr="00CE3E37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8F777A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Maximálna cena za neodobrat</w:t>
      </w:r>
      <w:r w:rsidR="00163331" w:rsidRPr="00CE3E37">
        <w:rPr>
          <w:rFonts w:ascii="Arial Narrow" w:hAnsi="Arial Narrow" w:cs="Times New Roman"/>
        </w:rPr>
        <w:t xml:space="preserve">ý plynu </w:t>
      </w:r>
      <w:r w:rsidRPr="00CE3E37">
        <w:rPr>
          <w:rFonts w:ascii="Arial Narrow" w:hAnsi="Arial Narrow" w:cs="Times New Roman"/>
        </w:rPr>
        <w:t>v prípadoch, na ktoré sa nevzťahuje bod 2.</w:t>
      </w:r>
      <w:r w:rsidR="00820F22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>.2</w:t>
      </w:r>
      <w:r w:rsidR="00617975" w:rsidRPr="00CE3E37">
        <w:rPr>
          <w:rFonts w:ascii="Arial Narrow" w:hAnsi="Arial Narrow" w:cs="Times New Roman"/>
        </w:rPr>
        <w:t xml:space="preserve"> tohto článku Zmluvy</w:t>
      </w:r>
      <w:r w:rsidR="00820F22" w:rsidRPr="00CE3E37">
        <w:rPr>
          <w:rFonts w:ascii="Arial Narrow" w:hAnsi="Arial Narrow" w:cs="Times New Roman"/>
        </w:rPr>
        <w:t xml:space="preserve"> vyššie</w:t>
      </w:r>
      <w:r w:rsidRPr="00CE3E37">
        <w:rPr>
          <w:rFonts w:ascii="Arial Narrow" w:hAnsi="Arial Narrow" w:cs="Times New Roman"/>
        </w:rPr>
        <w:t xml:space="preserve"> bude najviac vo výške</w:t>
      </w:r>
      <w:r w:rsidR="00DC0C55" w:rsidRPr="00CE3E37">
        <w:rPr>
          <w:rFonts w:ascii="Arial Narrow" w:hAnsi="Arial Narrow" w:cs="Times New Roman"/>
        </w:rPr>
        <w:t xml:space="preserve"> určenej spôsobom podľa</w:t>
      </w:r>
      <w:r w:rsidRPr="00CE3E37">
        <w:rPr>
          <w:rFonts w:ascii="Arial Narrow" w:hAnsi="Arial Narrow" w:cs="Times New Roman"/>
        </w:rPr>
        <w:t xml:space="preserve"> Príloh</w:t>
      </w:r>
      <w:r w:rsidR="00DC0C55" w:rsidRPr="00CE3E37">
        <w:rPr>
          <w:rFonts w:ascii="Arial Narrow" w:hAnsi="Arial Narrow" w:cs="Times New Roman"/>
        </w:rPr>
        <w:t>y</w:t>
      </w:r>
      <w:r w:rsidRPr="00CE3E37">
        <w:rPr>
          <w:rFonts w:ascii="Arial Narrow" w:hAnsi="Arial Narrow" w:cs="Times New Roman"/>
        </w:rPr>
        <w:t xml:space="preserve"> č. </w:t>
      </w:r>
      <w:r w:rsidR="006420D6" w:rsidRPr="00CE3E37">
        <w:rPr>
          <w:rFonts w:ascii="Arial Narrow" w:hAnsi="Arial Narrow" w:cs="Times New Roman"/>
        </w:rPr>
        <w:t>3</w:t>
      </w:r>
      <w:r w:rsidRPr="00CE3E37">
        <w:rPr>
          <w:rFonts w:ascii="Arial Narrow" w:hAnsi="Arial Narrow" w:cs="Times New Roman"/>
        </w:rPr>
        <w:t xml:space="preserve"> tejto </w:t>
      </w:r>
      <w:r w:rsidR="00D9432E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v návrhu na plnenie pomocného kritéria.</w:t>
      </w:r>
    </w:p>
    <w:p w14:paraId="32EBA13D" w14:textId="1C9C18EC" w:rsidR="00EC2A20" w:rsidRPr="00CE3E37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CE3E37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CE3E37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CE3E37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0DDC5699" w14:textId="22486824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11EBABC2" w14:textId="3DA35D0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549F5A5" w14:textId="3F3598B6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715764F" w14:textId="0630418E" w:rsidR="00EC2A20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6C90D9C0" w14:textId="044FAA59" w:rsidR="00617975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CE3E37">
        <w:rPr>
          <w:rFonts w:ascii="Arial Narrow" w:hAnsi="Arial Narrow" w:cs="Times New Roman"/>
        </w:rPr>
        <w:t>best</w:t>
      </w:r>
      <w:proofErr w:type="spellEnd"/>
      <w:r w:rsidRPr="00CE3E37">
        <w:rPr>
          <w:rFonts w:ascii="Arial Narrow" w:hAnsi="Arial Narrow" w:cs="Times New Roman"/>
        </w:rPr>
        <w:t xml:space="preserve"> </w:t>
      </w:r>
      <w:proofErr w:type="spellStart"/>
      <w:r w:rsidRPr="00CE3E37">
        <w:rPr>
          <w:rFonts w:ascii="Arial Narrow" w:hAnsi="Arial Narrow" w:cs="Times New Roman"/>
        </w:rPr>
        <w:t>practice</w:t>
      </w:r>
      <w:proofErr w:type="spellEnd"/>
      <w:r w:rsidRPr="00CE3E37">
        <w:rPr>
          <w:rFonts w:ascii="Arial Narrow" w:hAnsi="Arial Narrow" w:cs="Times New Roman"/>
        </w:rPr>
        <w:t xml:space="preserve">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CE3E37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7E7844B2" w14:textId="77777777" w:rsidR="00F41034" w:rsidRPr="00CE3E37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952AB97" w:rsidR="00A44A5B" w:rsidRPr="00CE3E37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50221744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CE3E37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CE3E37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6779BD5B" w14:textId="568957B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25B32503" w14:textId="446F64E0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</w:t>
      </w:r>
      <w:r w:rsidRPr="00CE3E37">
        <w:rPr>
          <w:rFonts w:ascii="Arial Narrow" w:hAnsi="Arial Narrow" w:cs="Times New Roman"/>
        </w:rPr>
        <w:lastRenderedPageBreak/>
        <w:t xml:space="preserve">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7B458F67" w14:textId="007DBA33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18ACF2E6" w14:textId="5A848E15" w:rsidR="00A42BE3" w:rsidRPr="00CE3E37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CE3E37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2BB0E258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648ABF1E" w14:textId="317E0516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CE3E37">
        <w:rPr>
          <w:rFonts w:ascii="Arial Narrow" w:hAnsi="Arial Narrow" w:cs="Times New Roman"/>
        </w:rPr>
        <w:t>Z.z</w:t>
      </w:r>
      <w:proofErr w:type="spellEnd"/>
      <w:r w:rsidR="007946E7" w:rsidRPr="00CE3E37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3554A851" w14:textId="3FF38AB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 xml:space="preserve">SPP distribúcia </w:t>
      </w:r>
      <w:proofErr w:type="spellStart"/>
      <w:r w:rsidR="006A0474" w:rsidRPr="00CE3E37">
        <w:rPr>
          <w:rFonts w:ascii="Arial Narrow" w:hAnsi="Arial Narrow" w:cs="Times New Roman"/>
        </w:rPr>
        <w:t>a.s</w:t>
      </w:r>
      <w:proofErr w:type="spellEnd"/>
      <w:r w:rsidR="006A0474" w:rsidRPr="00CE3E37">
        <w:rPr>
          <w:rFonts w:ascii="Arial Narrow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17DA9A6" w14:textId="0E2B58D1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A1A72A0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6BD83C7C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4E5A5A94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3ADFA092" w:rsidR="00AB5552" w:rsidRPr="00CE3E37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049F057F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CE3E37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5A35EF70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CE3E37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>je 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20C52BAD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4C560F3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3E019549" w14:textId="743BD7EC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638D932D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Objednávateľ je povinný uhradiť poškodenému subjektu škodu spôsobenú neoprávneným odberom </w:t>
      </w:r>
      <w:r w:rsidR="00891F25" w:rsidRPr="00104F44">
        <w:rPr>
          <w:rFonts w:ascii="Arial Narrow" w:hAnsi="Arial Narrow" w:cs="Times New Roman"/>
        </w:rPr>
        <w:t xml:space="preserve">plynu </w:t>
      </w:r>
      <w:r w:rsidRPr="00104F44">
        <w:rPr>
          <w:rFonts w:ascii="Arial Narrow" w:hAnsi="Arial Narrow" w:cs="Times New Roman"/>
        </w:rPr>
        <w:t>a náklady s tým súvisiace.</w:t>
      </w:r>
      <w:r w:rsidR="00CE3E37" w:rsidRPr="00104F44">
        <w:rPr>
          <w:rFonts w:ascii="Arial Narrow" w:hAnsi="Arial Narrow" w:cs="Times New Roman"/>
        </w:rPr>
        <w:t xml:space="preserve"> </w:t>
      </w:r>
      <w:r w:rsidR="00CE3E37" w:rsidRPr="00104F44">
        <w:rPr>
          <w:rFonts w:ascii="Arial Narrow" w:hAnsi="Arial Narrow" w:cs="Arial"/>
        </w:rPr>
        <w:t>Ak Objednávateľ neuhradí škodu spôsobenú neoprávneným odberom plynu v určenej lehote splatnosti, bude sa takéto konanie Objednávateľa považovať za podstatné porušenie Dohody resp. Realizačnej zmluvy a Poskytovateľ má v takomto prípade právo od tejto Zmluvy odstúpiť.</w:t>
      </w:r>
    </w:p>
    <w:p w14:paraId="233A1E58" w14:textId="77777777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0809FE9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21839114" w14:textId="77777777" w:rsidR="00CE3E37" w:rsidRPr="00CE3E37" w:rsidRDefault="00CE3E37" w:rsidP="00CE3E37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655D9B9" w14:textId="668E5995" w:rsidR="00CE3E37" w:rsidRPr="00CE3E37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168C915" w14:textId="77777777" w:rsidR="00EC2A20" w:rsidRPr="00CE3E37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953FE96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 xml:space="preserve">s SPP - distribúcia, </w:t>
      </w:r>
      <w:proofErr w:type="spellStart"/>
      <w:r w:rsidR="00CE3E37" w:rsidRPr="00CE3E37">
        <w:rPr>
          <w:rFonts w:ascii="Arial Narrow" w:hAnsi="Arial Narrow"/>
        </w:rPr>
        <w:t>a.s</w:t>
      </w:r>
      <w:proofErr w:type="spellEnd"/>
      <w:r w:rsidR="00CE3E37" w:rsidRPr="00CE3E37">
        <w:rPr>
          <w:rFonts w:ascii="Arial Narrow" w:hAnsi="Arial Narrow"/>
        </w:rPr>
        <w:t>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schválenej Úradom pre reguláciu sieťových odvetví. </w:t>
      </w:r>
    </w:p>
    <w:p w14:paraId="3DCEF306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CE3E37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CE3E37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CE3E37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CE3E37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CE3E37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5474D7C4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1</w:t>
      </w:r>
      <w:r w:rsidR="00104F44">
        <w:rPr>
          <w:rFonts w:ascii="Arial Narrow" w:hAnsi="Arial Narrow" w:cs="Times New Roman"/>
          <w:highlight w:val="yellow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 xml:space="preserve">MWh </w:t>
      </w:r>
      <w:r w:rsidR="00320B8A">
        <w:rPr>
          <w:rFonts w:ascii="Arial Narrow" w:hAnsi="Arial Narrow" w:cs="Times New Roman"/>
          <w:highlight w:val="yellow"/>
          <w:lang w:eastAsia="de-DE"/>
        </w:rPr>
        <w:t xml:space="preserve">plynu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v</w:t>
      </w:r>
      <w:r w:rsidR="00320B8A">
        <w:rPr>
          <w:rFonts w:ascii="Arial Narrow" w:hAnsi="Arial Narrow" w:cs="Times New Roman"/>
          <w:highlight w:val="yellow"/>
          <w:lang w:eastAsia="de-DE"/>
        </w:rPr>
        <w:t> 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EUR</w:t>
      </w:r>
      <w:r w:rsidR="00320B8A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CE3E37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CE3E37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CE3E37">
        <w:rPr>
          <w:rFonts w:ascii="Arial Narrow" w:hAnsi="Arial Narrow" w:cs="Times New Roman"/>
          <w:lang w:eastAsia="de-DE"/>
        </w:rPr>
        <w:t xml:space="preserve"> </w:t>
      </w:r>
      <w:r w:rsidR="00683B20" w:rsidRPr="00CE3E37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>je</w:t>
      </w:r>
      <w:r w:rsidR="0024289F" w:rsidRPr="00CE3E3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CE3E37">
        <w:rPr>
          <w:rFonts w:ascii="Arial Narrow" w:hAnsi="Arial Narrow" w:cs="Times New Roman"/>
          <w:lang w:eastAsia="de-DE"/>
        </w:rPr>
        <w:t>cene</w:t>
      </w:r>
      <w:r w:rsidR="0024289F" w:rsidRPr="00CE3E37">
        <w:rPr>
          <w:rFonts w:ascii="Arial Narrow" w:hAnsi="Arial Narrow" w:cs="Times New Roman"/>
          <w:lang w:eastAsia="de-DE"/>
        </w:rPr>
        <w:t xml:space="preserve"> za </w:t>
      </w:r>
      <w:r w:rsidR="002848BB" w:rsidRPr="00CE3E37">
        <w:rPr>
          <w:rFonts w:ascii="Arial Narrow" w:hAnsi="Arial Narrow" w:cs="Times New Roman"/>
          <w:lang w:eastAsia="de-DE"/>
        </w:rPr>
        <w:t xml:space="preserve">Zmluvné </w:t>
      </w:r>
      <w:r w:rsidR="0024289F" w:rsidRPr="00CE3E37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CE3E37">
        <w:rPr>
          <w:rFonts w:ascii="Arial Narrow" w:hAnsi="Arial Narrow" w:cs="Times New Roman"/>
        </w:rPr>
        <w:t>;</w:t>
      </w:r>
    </w:p>
    <w:p w14:paraId="45B7FDB4" w14:textId="391684F6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  <w:lang w:eastAsia="de-DE"/>
        </w:rPr>
        <w:t>, systémové služby a ostatné regulované položky, ktorých výška je určená podľa aktuálnych cenových rozhodnutí Úradu pre reguláciu sieťových odvetví platných a účinných v čase dodania plnení</w:t>
      </w:r>
      <w:r w:rsidRPr="00CE3E37">
        <w:rPr>
          <w:rFonts w:ascii="Arial Narrow" w:hAnsi="Arial Narrow" w:cs="Times New Roman"/>
        </w:rPr>
        <w:t>;</w:t>
      </w:r>
    </w:p>
    <w:p w14:paraId="3E8CAF58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CE3E37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za</w:t>
      </w:r>
      <w:r w:rsidR="0074564E" w:rsidRPr="00CE3E37">
        <w:rPr>
          <w:rFonts w:ascii="Arial Narrow" w:hAnsi="Arial Narrow" w:cs="Times New Roman"/>
          <w:lang w:eastAsia="de-DE"/>
        </w:rPr>
        <w:t xml:space="preserve"> Zmluvné</w:t>
      </w:r>
      <w:r w:rsidRPr="00CE3E3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CE3E37">
        <w:rPr>
          <w:rFonts w:ascii="Arial Narrow" w:hAnsi="Arial Narrow" w:cs="Times New Roman"/>
          <w:lang w:eastAsia="de-DE"/>
        </w:rPr>
        <w:t>3</w:t>
      </w:r>
      <w:r w:rsidR="0074564E" w:rsidRPr="00CE3E37">
        <w:rPr>
          <w:rFonts w:ascii="Arial Narrow" w:hAnsi="Arial Narrow" w:cs="Times New Roman"/>
          <w:lang w:eastAsia="de-DE"/>
        </w:rPr>
        <w:t xml:space="preserve"> tejto Zmluvy</w:t>
      </w:r>
      <w:r w:rsidRPr="00CE3E37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CE3E37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Pr="00CE3E37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3497F">
        <w:rPr>
          <w:rFonts w:ascii="Arial Narrow" w:hAnsi="Arial Narrow" w:cs="Times New Roman"/>
          <w:lang w:eastAsia="de-DE"/>
        </w:rPr>
        <w:t>e</w:t>
      </w:r>
      <w:r w:rsidRPr="0033497F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3497F">
        <w:rPr>
          <w:rFonts w:ascii="Arial Narrow" w:hAnsi="Arial Narrow" w:cs="Times New Roman"/>
          <w:lang w:eastAsia="de-DE"/>
        </w:rPr>
        <w:t>odplatu, ktorej</w:t>
      </w:r>
      <w:r w:rsidR="008F7C9D" w:rsidRPr="00CE3E37">
        <w:rPr>
          <w:rFonts w:ascii="Arial Narrow" w:hAnsi="Arial Narrow" w:cs="Times New Roman"/>
          <w:lang w:eastAsia="de-DE"/>
        </w:rPr>
        <w:t xml:space="preserve"> spôsob určenia je uvedený v Prílohe č. 3</w:t>
      </w:r>
      <w:r w:rsidRPr="00CE3E37">
        <w:rPr>
          <w:rFonts w:ascii="Arial Narrow" w:hAnsi="Arial Narrow" w:cs="Times New Roman"/>
          <w:lang w:eastAsia="de-DE"/>
        </w:rPr>
        <w:t>. Všeobecné podmienky fakturácie</w:t>
      </w:r>
      <w:r w:rsidR="00DC0C55" w:rsidRPr="00CE3E37">
        <w:rPr>
          <w:rFonts w:ascii="Arial Narrow" w:hAnsi="Arial Narrow" w:cs="Times New Roman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lang w:eastAsia="de-DE"/>
        </w:rPr>
        <w:t xml:space="preserve">odplaty </w:t>
      </w:r>
      <w:r w:rsidRPr="00CE3E37">
        <w:rPr>
          <w:rFonts w:ascii="Arial Narrow" w:hAnsi="Arial Narrow" w:cs="Times New Roman"/>
          <w:lang w:eastAsia="de-DE"/>
        </w:rPr>
        <w:t xml:space="preserve">sú vymedzené </w:t>
      </w:r>
      <w:r w:rsidR="00964575" w:rsidRPr="00CE3E37">
        <w:rPr>
          <w:rFonts w:ascii="Arial Narrow" w:hAnsi="Arial Narrow" w:cs="Times New Roman"/>
          <w:lang w:eastAsia="de-DE"/>
        </w:rPr>
        <w:t xml:space="preserve">v </w:t>
      </w:r>
      <w:r w:rsidR="002848BB" w:rsidRPr="00CE3E37">
        <w:rPr>
          <w:rFonts w:ascii="Arial Narrow" w:hAnsi="Arial Narrow" w:cs="Times New Roman"/>
          <w:lang w:eastAsia="de-DE"/>
        </w:rPr>
        <w:t>Prílohe č. 3</w:t>
      </w:r>
      <w:r w:rsidRPr="00CE3E37">
        <w:rPr>
          <w:rFonts w:ascii="Arial Narrow" w:hAnsi="Arial Narrow" w:cs="Times New Roman"/>
          <w:lang w:eastAsia="de-DE"/>
        </w:rPr>
        <w:t xml:space="preserve">, pričom </w:t>
      </w:r>
      <w:r w:rsidR="00E21F64" w:rsidRPr="00CE3E37">
        <w:rPr>
          <w:rFonts w:ascii="Arial Narrow" w:hAnsi="Arial Narrow" w:cs="Times New Roman"/>
          <w:lang w:eastAsia="de-DE"/>
        </w:rPr>
        <w:t xml:space="preserve">tiež </w:t>
      </w:r>
      <w:r w:rsidRPr="00CE3E37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FF7933B" w:rsidR="0074564E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lastRenderedPageBreak/>
        <w:t>k</w:t>
      </w:r>
      <w:r w:rsidR="0074564E" w:rsidRPr="00CE3E37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CE3E37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CE3E37">
        <w:rPr>
          <w:rFonts w:ascii="Arial Narrow" w:hAnsi="Arial Narrow" w:cs="Times New Roman"/>
        </w:rPr>
        <w:t>;</w:t>
      </w:r>
    </w:p>
    <w:p w14:paraId="68F65FC8" w14:textId="1DF31DD4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CE3E37">
        <w:rPr>
          <w:rFonts w:ascii="Arial Narrow" w:hAnsi="Arial Narrow" w:cs="Times New Roman"/>
          <w:lang w:eastAsia="de-DE"/>
        </w:rPr>
        <w:t>Odplata</w:t>
      </w:r>
      <w:r w:rsidRPr="00CE3E3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CE3E37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3DF14A7E" w:rsidR="00F25778" w:rsidRPr="00CE3E37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 sa dohodli, že podkladom pre</w:t>
      </w:r>
      <w:r w:rsidR="002848BB" w:rsidRPr="00CE3E37">
        <w:rPr>
          <w:rFonts w:ascii="Arial Narrow" w:hAnsi="Arial Narrow" w:cs="Times New Roman"/>
        </w:rPr>
        <w:t xml:space="preserve"> určenie</w:t>
      </w:r>
      <w:r w:rsidRPr="00CE3E37">
        <w:rPr>
          <w:rFonts w:ascii="Arial Narrow" w:hAnsi="Arial Narrow" w:cs="Times New Roman"/>
        </w:rPr>
        <w:t xml:space="preserve"> </w:t>
      </w:r>
      <w:r w:rsidR="00E21F64" w:rsidRPr="00CE3E37">
        <w:rPr>
          <w:rFonts w:ascii="Arial Narrow" w:hAnsi="Arial Narrow" w:cs="Times New Roman"/>
        </w:rPr>
        <w:t>c</w:t>
      </w:r>
      <w:r w:rsidR="00570382" w:rsidRPr="00CE3E37">
        <w:rPr>
          <w:rFonts w:ascii="Arial Narrow" w:hAnsi="Arial Narrow" w:cs="Times New Roman"/>
        </w:rPr>
        <w:t>eny</w:t>
      </w:r>
      <w:r w:rsidRPr="00CE3E37">
        <w:rPr>
          <w:rFonts w:ascii="Arial Narrow" w:hAnsi="Arial Narrow" w:cs="Times New Roman"/>
        </w:rPr>
        <w:t xml:space="preserve"> podľa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CE3E37">
        <w:rPr>
          <w:rFonts w:ascii="Arial Narrow" w:hAnsi="Arial Narrow" w:cs="Times New Roman"/>
        </w:rPr>
        <w:t xml:space="preserve"> vo Verejnom obstarávaní</w:t>
      </w:r>
      <w:r w:rsidRPr="00CE3E37">
        <w:rPr>
          <w:rFonts w:ascii="Arial Narrow" w:hAnsi="Arial Narrow" w:cs="Times New Roman"/>
        </w:rPr>
        <w:t xml:space="preserve">.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CE3E37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CE3E37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CE3E37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CE3E37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výške </w:t>
      </w:r>
      <w:r w:rsidRPr="0033497F">
        <w:rPr>
          <w:rFonts w:ascii="Arial Narrow" w:hAnsi="Arial Narrow" w:cs="Times New Roman"/>
          <w:lang w:eastAsia="de-DE"/>
        </w:rPr>
        <w:t>0,05 %</w:t>
      </w:r>
      <w:r w:rsidRPr="00CE3E37">
        <w:rPr>
          <w:rFonts w:ascii="Arial Narrow" w:hAnsi="Arial Narrow" w:cs="Times New Roman"/>
          <w:lang w:eastAsia="de-DE"/>
        </w:rPr>
        <w:t xml:space="preserve"> z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433DE6BE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29F0A18E" w14:textId="38CBAFF9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CE3E37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CE3E37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CE3E37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367D34F2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CE3E37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0255CC19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</w:t>
      </w:r>
      <w:r w:rsidR="002848BB" w:rsidRPr="00CE3E37">
        <w:rPr>
          <w:rFonts w:ascii="Arial Narrow" w:hAnsi="Arial Narrow" w:cs="Times New Roman"/>
        </w:rPr>
        <w:t xml:space="preserve">mluva sa uzatvára na dobu určitú, na obdobie od </w:t>
      </w:r>
      <w:r w:rsidR="002848BB" w:rsidRPr="00CE3E37">
        <w:rPr>
          <w:rFonts w:ascii="Arial Narrow" w:hAnsi="Arial Narrow" w:cs="Times New Roman"/>
          <w:highlight w:val="yellow"/>
        </w:rPr>
        <w:t>01.01.202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="002848BB" w:rsidRPr="00CE3E37">
        <w:rPr>
          <w:rFonts w:ascii="Arial Narrow" w:hAnsi="Arial Narrow" w:cs="Times New Roman"/>
        </w:rPr>
        <w:t xml:space="preserve"> do </w:t>
      </w:r>
      <w:r w:rsidR="002848BB" w:rsidRPr="00CE3E37">
        <w:rPr>
          <w:rFonts w:ascii="Arial Narrow" w:hAnsi="Arial Narrow" w:cs="Times New Roman"/>
          <w:highlight w:val="yellow"/>
        </w:rPr>
        <w:t>31.12.202</w:t>
      </w:r>
      <w:r w:rsidR="00104F44" w:rsidRPr="00104F44">
        <w:rPr>
          <w:rFonts w:ascii="Arial Narrow" w:hAnsi="Arial Narrow" w:cs="Times New Roman"/>
          <w:highlight w:val="yellow"/>
        </w:rPr>
        <w:t>5</w:t>
      </w:r>
      <w:r w:rsidR="002848BB" w:rsidRPr="00CE3E37">
        <w:rPr>
          <w:rFonts w:ascii="Arial Narrow" w:hAnsi="Arial Narrow" w:cs="Times New Roman"/>
        </w:rPr>
        <w:t xml:space="preserve">. </w:t>
      </w:r>
    </w:p>
    <w:p w14:paraId="037162A4" w14:textId="77777777" w:rsidR="00AB7B30" w:rsidRPr="00CE3E37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72DD70FE" w14:textId="5FD41692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CE3E37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104F44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104F44">
        <w:rPr>
          <w:rFonts w:ascii="Arial Narrow" w:hAnsi="Arial Narrow" w:cs="Times New Roman"/>
        </w:rPr>
        <w:t>Poskytovateľa</w:t>
      </w:r>
      <w:r w:rsidRPr="00104F44">
        <w:rPr>
          <w:rFonts w:ascii="Arial Narrow" w:hAnsi="Arial Narrow" w:cs="Times New Roman"/>
        </w:rPr>
        <w:t xml:space="preserve"> pre nesplnenie podmienky účasti podľa </w:t>
      </w:r>
      <w:hyperlink r:id="rId8" w:anchor="paragraf-32.odsek-1.pismeno-a" w:tooltip="Odkaz na predpis alebo ustanovenie" w:history="1">
        <w:r w:rsidRPr="00104F44">
          <w:rPr>
            <w:rFonts w:ascii="Arial Narrow" w:hAnsi="Arial Narrow" w:cs="Times New Roman"/>
          </w:rPr>
          <w:t>§ 32 ods. 1 písm. a)</w:t>
        </w:r>
      </w:hyperlink>
      <w:r w:rsidRPr="00104F44">
        <w:rPr>
          <w:rFonts w:ascii="Arial Narrow" w:hAnsi="Arial Narrow" w:cs="Times New Roman"/>
        </w:rPr>
        <w:t xml:space="preserve"> Zákona o verejnom obstarávaní</w:t>
      </w:r>
      <w:r w:rsidR="00A42BE3" w:rsidRPr="00104F44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104F44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ak táto </w:t>
      </w:r>
      <w:r w:rsidR="00A42BE3" w:rsidRPr="00104F44">
        <w:rPr>
          <w:rFonts w:ascii="Arial Narrow" w:hAnsi="Arial Narrow" w:cs="Times New Roman"/>
        </w:rPr>
        <w:t xml:space="preserve">Zmluva </w:t>
      </w:r>
      <w:r w:rsidRPr="00104F44">
        <w:rPr>
          <w:rFonts w:ascii="Arial Narrow" w:hAnsi="Arial Narrow" w:cs="Times New Roman"/>
        </w:rPr>
        <w:t>nemala byť uzavretá s</w:t>
      </w:r>
      <w:r w:rsidR="002B256F" w:rsidRPr="00104F44">
        <w:rPr>
          <w:rFonts w:ascii="Arial Narrow" w:hAnsi="Arial Narrow" w:cs="Times New Roman"/>
        </w:rPr>
        <w:t> Poskytovateľom</w:t>
      </w:r>
      <w:r w:rsidRPr="00104F44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104F44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ak </w:t>
      </w:r>
      <w:r w:rsidR="002B256F" w:rsidRPr="00104F44">
        <w:rPr>
          <w:rFonts w:ascii="Arial Narrow" w:hAnsi="Arial Narrow" w:cs="Times New Roman"/>
        </w:rPr>
        <w:t>Poskytovateľ</w:t>
      </w:r>
      <w:r w:rsidRPr="00104F44">
        <w:rPr>
          <w:rFonts w:ascii="Arial Narrow" w:hAnsi="Arial Narrow" w:cs="Times New Roman"/>
        </w:rPr>
        <w:t xml:space="preserve"> nebol v čase uzavretia </w:t>
      </w:r>
      <w:r w:rsidR="00A42BE3" w:rsidRPr="00104F44">
        <w:rPr>
          <w:rFonts w:ascii="Arial Narrow" w:hAnsi="Arial Narrow" w:cs="Times New Roman"/>
        </w:rPr>
        <w:t>Zmluvy</w:t>
      </w:r>
      <w:r w:rsidRPr="00104F44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104F44">
        <w:rPr>
          <w:rFonts w:ascii="Arial Narrow" w:hAnsi="Arial Narrow" w:cs="Times New Roman"/>
        </w:rPr>
        <w:t xml:space="preserve"> </w:t>
      </w:r>
      <w:r w:rsidRPr="00104F44">
        <w:rPr>
          <w:rFonts w:ascii="Arial Narrow" w:hAnsi="Arial Narrow" w:cs="Times New Roman"/>
        </w:rPr>
        <w:t>315/2016 Z.</w:t>
      </w:r>
      <w:r w:rsidR="002B256F" w:rsidRPr="00104F44">
        <w:rPr>
          <w:rFonts w:ascii="Arial Narrow" w:hAnsi="Arial Narrow" w:cs="Times New Roman"/>
        </w:rPr>
        <w:t xml:space="preserve"> </w:t>
      </w:r>
      <w:r w:rsidRPr="00104F44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104F44">
        <w:rPr>
          <w:rFonts w:ascii="Arial Narrow" w:hAnsi="Arial Narrow" w:cs="Times New Roman"/>
        </w:rPr>
        <w:t>,</w:t>
      </w:r>
      <w:r w:rsidRPr="00104F44">
        <w:rPr>
          <w:rFonts w:ascii="Arial Narrow" w:hAnsi="Arial Narrow" w:cs="Times New Roman"/>
        </w:rPr>
        <w:t xml:space="preserve"> alebo ak bol vymazaný z registra partnerov verejného sektora</w:t>
      </w:r>
      <w:r w:rsidRPr="00CE3E37">
        <w:rPr>
          <w:rFonts w:ascii="Arial Narrow" w:hAnsi="Arial Narrow" w:cs="Times New Roman"/>
        </w:rPr>
        <w:t>.</w:t>
      </w:r>
    </w:p>
    <w:p w14:paraId="5EEC12E2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2A227EC6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lastRenderedPageBreak/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CE3E37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614774EE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zanikajú 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 xml:space="preserve">. </w:t>
      </w:r>
    </w:p>
    <w:p w14:paraId="1E6F98D3" w14:textId="778A5FD4" w:rsidR="00281C0D" w:rsidRPr="00CE3E37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CE3E37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0686F67E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6587A2F7" w14:textId="77777777" w:rsidR="00104F44" w:rsidRPr="00AF3241" w:rsidRDefault="00104F44" w:rsidP="00104F44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Datacentrum</w:t>
      </w:r>
    </w:p>
    <w:p w14:paraId="1F83D372" w14:textId="77777777" w:rsidR="00104F44" w:rsidRPr="00AF3241" w:rsidRDefault="00104F44" w:rsidP="00104F44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Cintorínska 5, 814 88 Bratislava</w:t>
      </w:r>
      <w:r w:rsidRPr="00AF3241">
        <w:rPr>
          <w:rFonts w:ascii="Arial Narrow" w:hAnsi="Arial Narrow" w:cs="Times New Roman"/>
        </w:rPr>
        <w:t xml:space="preserve">, Slovenská republika </w:t>
      </w:r>
    </w:p>
    <w:p w14:paraId="38DE77D8" w14:textId="043FBCE5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email: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čase jeho doručenia, ale najneskôr v piaty (5</w:t>
      </w:r>
      <w:r w:rsidR="000D5AF6" w:rsidRPr="00CE3E37">
        <w:rPr>
          <w:rFonts w:ascii="Arial Narrow" w:hAnsi="Arial Narrow" w:cs="Times New Roman"/>
        </w:rPr>
        <w:t>.</w:t>
      </w:r>
      <w:r w:rsidRPr="00CE3E37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Ak je v súvislosti s vymedzením významu nejakého výrazu v ňom použité veľké začiatočné písmeno, je tak len na uľahčenie orientácie v texte a výraz má rovnaký význam aj s malým začiatočným písmenom, </w:t>
      </w:r>
      <w:r w:rsidRPr="00CE3E37">
        <w:rPr>
          <w:rFonts w:ascii="Arial Narrow" w:hAnsi="Arial Narrow" w:cs="Times New Roman"/>
        </w:rPr>
        <w:lastRenderedPageBreak/>
        <w:t>ibaže z kontextu vyplýva inak. Ak z kontextu nevyplýva iné, výrazy v jednotnom čísle zahŕňajú aj význam množného čísla a naopak.</w:t>
      </w:r>
    </w:p>
    <w:p w14:paraId="65CE6553" w14:textId="77777777" w:rsidR="00446FF9" w:rsidRPr="00CE3E37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CE3E37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7B550486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11CD3F" w14:textId="7EFED662" w:rsidR="00A42BE3" w:rsidRPr="00CE3E37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CE3E37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CE3E37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3497F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02E62491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Táto </w:t>
      </w:r>
      <w:r w:rsidR="00B35E30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CE3E37">
        <w:rPr>
          <w:rFonts w:ascii="Arial Narrow" w:hAnsi="Arial Narrow" w:cs="Times New Roman"/>
        </w:rPr>
        <w:t xml:space="preserve"> účinnosť dňa </w:t>
      </w:r>
      <w:r w:rsidR="00B35E30" w:rsidRPr="00CE3E37">
        <w:rPr>
          <w:rFonts w:ascii="Arial Narrow" w:hAnsi="Arial Narrow" w:cs="Times New Roman"/>
          <w:highlight w:val="yellow"/>
        </w:rPr>
        <w:t>01.01.202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="00B35E30" w:rsidRPr="00CE3E37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CE3E37">
        <w:rPr>
          <w:rFonts w:ascii="Arial Narrow" w:hAnsi="Arial Narrow" w:cs="Times New Roman"/>
        </w:rPr>
        <w:t xml:space="preserve"> v súlade so zákonom č. 546/2010 Z. z., ktorým sa dopĺňa zákon č. </w:t>
      </w:r>
      <w:r w:rsidRPr="00CE3E37">
        <w:rPr>
          <w:rFonts w:ascii="Arial Narrow" w:hAnsi="Arial Narrow" w:cs="Times New Roman"/>
        </w:rPr>
        <w:lastRenderedPageBreak/>
        <w:t xml:space="preserve">40/1964 Zb. Občiansky zákonník v znení neskorších predpisov, a ktorými sa menia a dopĺňajú niektoré zákony. </w:t>
      </w:r>
      <w:r w:rsidR="00B35E30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767F3145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Za </w:t>
      </w:r>
      <w:r w:rsidR="00104F44">
        <w:rPr>
          <w:rFonts w:ascii="Arial Narrow" w:eastAsia="Calibri" w:hAnsi="Arial Narrow" w:cs="Times New Roman"/>
        </w:rPr>
        <w:t>Datacentrum</w:t>
      </w:r>
      <w:r w:rsidRPr="00CE3E37">
        <w:rPr>
          <w:rFonts w:ascii="Arial Narrow" w:eastAsia="Calibri" w:hAnsi="Arial Narrow" w:cs="Times New Roman"/>
        </w:rPr>
        <w:t>: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104F44">
        <w:rPr>
          <w:rFonts w:ascii="Arial Narrow" w:eastAsia="Calibri" w:hAnsi="Arial Narrow" w:cs="Times New Roman"/>
        </w:rPr>
        <w:tab/>
      </w:r>
      <w:r w:rsidR="00104F44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 xml:space="preserve">Za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1F0040AA" w14:textId="67BD7AB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B19D130" w14:textId="587B114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453A259" w14:textId="1787EEF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4E79A9A" w14:textId="57A17DF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969AE3D" w14:textId="164E47A2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541ED3CA" w14:textId="3DAFC03A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1A6E54BA" w14:textId="15B52D61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629A927E" w14:textId="5EF2C4B6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22716B43" w14:textId="77777777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678693D5" w14:textId="77777777" w:rsidR="00104F44" w:rsidRDefault="00104F44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12C35BDA" w14:textId="089216E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35060E6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44631959" w14:textId="28D05150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9EB0B" w14:textId="3DA1720D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plynu Poskytovateľom Služieb, ktorý zabezpečí dodávku plynu podľa konkrétnych potrieb </w:t>
      </w:r>
      <w:r w:rsidR="00104F44">
        <w:rPr>
          <w:rFonts w:ascii="Arial Narrow" w:hAnsi="Arial Narrow" w:cs="Times New Roman"/>
        </w:rPr>
        <w:t>Datacentra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7A83684E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F642A5" w14:textId="7AB6870D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Obdobie poskytovania služieb: od </w:t>
      </w:r>
      <w:r w:rsidRPr="00104F44">
        <w:rPr>
          <w:rFonts w:ascii="Arial Narrow" w:hAnsi="Arial Narrow" w:cs="Times New Roman"/>
          <w:highlight w:val="yellow"/>
        </w:rPr>
        <w:t>01.01.202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Pr="00104F44">
        <w:rPr>
          <w:rFonts w:ascii="Arial Narrow" w:hAnsi="Arial Narrow" w:cs="Times New Roman"/>
          <w:highlight w:val="yellow"/>
        </w:rPr>
        <w:t xml:space="preserve"> od 00:00 hod. do 31.12.202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Pr="00104F44">
        <w:rPr>
          <w:rFonts w:ascii="Arial Narrow" w:hAnsi="Arial Narrow" w:cs="Times New Roman"/>
          <w:highlight w:val="yellow"/>
        </w:rPr>
        <w:t xml:space="preserve"> do 24:00 hod.</w:t>
      </w:r>
      <w:r w:rsidRPr="00F841AD">
        <w:rPr>
          <w:rFonts w:ascii="Arial Narrow" w:hAnsi="Arial Narrow" w:cs="Times New Roman"/>
        </w:rPr>
        <w:t xml:space="preserve"> </w:t>
      </w:r>
    </w:p>
    <w:p w14:paraId="4DDF6D0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C96EC8F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Charakteristika odberných miest: </w:t>
      </w:r>
      <w:r w:rsidRPr="00F841AD">
        <w:rPr>
          <w:rFonts w:ascii="Arial Narrow" w:hAnsi="Arial Narrow" w:cs="Times New Roman"/>
          <w:highlight w:val="yellow"/>
        </w:rPr>
        <w:t>prevažne administratívneho charakteru</w:t>
      </w:r>
      <w:r>
        <w:rPr>
          <w:rFonts w:ascii="Arial Narrow" w:hAnsi="Arial Narrow" w:cs="Times New Roman"/>
        </w:rPr>
        <w:t>.</w:t>
      </w:r>
    </w:p>
    <w:p w14:paraId="44311C86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E9D7D1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3E3ABBA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CF65EF6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 w:rsidRPr="00CE3E37">
        <w:rPr>
          <w:color w:val="000000"/>
          <w:highlight w:val="yellow"/>
        </w:rPr>
        <w:t>[</w:t>
      </w:r>
      <w:r w:rsidRPr="00CE3E37">
        <w:rPr>
          <w:color w:val="000000"/>
          <w:highlight w:val="yellow"/>
        </w:rPr>
        <w:sym w:font="Wingdings" w:char="F09F"/>
      </w:r>
      <w:r w:rsidRPr="00CE3E37">
        <w:rPr>
          <w:color w:val="000000"/>
          <w:highlight w:val="yellow"/>
        </w:rPr>
        <w:t>]</w:t>
      </w:r>
      <w:r w:rsidRPr="00F841AD">
        <w:rPr>
          <w:rFonts w:ascii="Arial Narrow" w:hAnsi="Arial Narrow" w:cs="Times New Roman"/>
        </w:rPr>
        <w:t xml:space="preserve"> MWh </w:t>
      </w:r>
    </w:p>
    <w:p w14:paraId="5597E82E" w14:textId="403FDC61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Celková predpokladaná hodnota zákazky za obdobie poskytovania služieb: </w:t>
      </w:r>
      <w:r w:rsidRPr="00CE3E37">
        <w:rPr>
          <w:color w:val="000000"/>
          <w:highlight w:val="yellow"/>
        </w:rPr>
        <w:t>[</w:t>
      </w:r>
      <w:r w:rsidRPr="00CE3E37">
        <w:rPr>
          <w:color w:val="000000"/>
          <w:highlight w:val="yellow"/>
        </w:rPr>
        <w:sym w:font="Wingdings" w:char="F09F"/>
      </w:r>
      <w:r w:rsidRPr="00CE3E37">
        <w:rPr>
          <w:color w:val="000000"/>
          <w:highlight w:val="yellow"/>
        </w:rPr>
        <w:t>]</w:t>
      </w:r>
      <w:r>
        <w:rPr>
          <w:color w:val="000000"/>
        </w:rPr>
        <w:t xml:space="preserve"> </w:t>
      </w:r>
      <w:r w:rsidRPr="00F841AD">
        <w:rPr>
          <w:rFonts w:ascii="Arial Narrow" w:hAnsi="Arial Narrow" w:cs="Times New Roman"/>
        </w:rPr>
        <w:t>Eur bez DPH</w:t>
      </w:r>
      <w:r>
        <w:rPr>
          <w:rFonts w:ascii="Arial Narrow" w:hAnsi="Arial Narrow" w:cs="Times New Roman"/>
        </w:rPr>
        <w:t>.</w:t>
      </w:r>
    </w:p>
    <w:p w14:paraId="3F336308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12B32BA" w14:textId="51658886" w:rsidR="00F841AD" w:rsidRP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10BD08D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74023121" w14:textId="77777777" w:rsidR="00757A8D" w:rsidRPr="00CE3E37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95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756"/>
        <w:gridCol w:w="1559"/>
        <w:gridCol w:w="1134"/>
        <w:gridCol w:w="1612"/>
        <w:gridCol w:w="1398"/>
        <w:gridCol w:w="1526"/>
      </w:tblGrid>
      <w:tr w:rsidR="00F841AD" w:rsidRPr="00CE3E37" w14:paraId="28DC7B6D" w14:textId="77777777" w:rsidTr="0033497F">
        <w:trPr>
          <w:trHeight w:hRule="exact" w:val="150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5FE29D5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01.01.202</w:t>
            </w:r>
            <w:r w:rsidR="00104F44">
              <w:rPr>
                <w:b/>
                <w:bCs/>
                <w:color w:val="000000"/>
              </w:rPr>
              <w:t>4</w:t>
            </w:r>
            <w:r w:rsidRPr="00CE3E37">
              <w:rPr>
                <w:b/>
                <w:bCs/>
                <w:color w:val="000000"/>
              </w:rPr>
              <w:t xml:space="preserve"> do 31.12.202</w:t>
            </w:r>
            <w:r w:rsidR="00104F44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ČOM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557B182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45C7A65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4CBB9" w14:textId="10527A93" w:rsidR="00F841AD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Zml</w:t>
            </w:r>
            <w:proofErr w:type="spellEnd"/>
            <w:r>
              <w:rPr>
                <w:b/>
                <w:bCs/>
                <w:color w:val="000000"/>
              </w:rPr>
              <w:t>. dohodnuté</w:t>
            </w:r>
          </w:p>
          <w:p w14:paraId="495103A3" w14:textId="794C222B" w:rsidR="00F841AD" w:rsidRPr="00CE3E37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F841AD" w:rsidRPr="00CE3E37" w14:paraId="4253C10B" w14:textId="77777777" w:rsidTr="0033497F">
        <w:trPr>
          <w:trHeight w:hRule="exact" w:val="92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F841AD" w:rsidRPr="00CE3E37" w:rsidRDefault="00F841AD" w:rsidP="00C02A72">
            <w:pPr>
              <w:pStyle w:val="In0"/>
              <w:spacing w:after="0" w:line="240" w:lineRule="auto"/>
            </w:pPr>
            <w:r w:rsidRPr="00CE3E37">
              <w:rPr>
                <w:color w:val="000000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4FDEB" w14:textId="3F2829AA" w:rsidR="00F841AD" w:rsidRPr="00CE3E37" w:rsidRDefault="00F841AD" w:rsidP="00757A8D">
            <w:pPr>
              <w:pStyle w:val="In0"/>
              <w:spacing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4162A1B6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30D21587" w:rsidR="00F841AD" w:rsidRPr="00CE3E37" w:rsidRDefault="00F841AD" w:rsidP="00C02A72">
            <w:pPr>
              <w:pStyle w:val="In0"/>
              <w:spacing w:after="0" w:line="240" w:lineRule="auto"/>
              <w:ind w:firstLine="180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747120E1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3B7ACDA9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7A9" w14:textId="722F7FEC" w:rsidR="00F841AD" w:rsidRPr="00CE3E37" w:rsidRDefault="00F841AD" w:rsidP="00C02A72">
            <w:pPr>
              <w:pStyle w:val="In0"/>
              <w:spacing w:after="0" w:line="240" w:lineRule="auto"/>
              <w:jc w:val="center"/>
            </w:pPr>
            <w:r w:rsidRPr="00CE3E37">
              <w:rPr>
                <w:color w:val="000000"/>
                <w:highlight w:val="yellow"/>
              </w:rPr>
              <w:t>[</w:t>
            </w:r>
            <w:r w:rsidRPr="00CE3E37">
              <w:rPr>
                <w:color w:val="000000"/>
                <w:highlight w:val="yellow"/>
              </w:rPr>
              <w:sym w:font="Wingdings" w:char="F09F"/>
            </w:r>
            <w:r w:rsidRPr="00CE3E37">
              <w:rPr>
                <w:color w:val="000000"/>
                <w:highlight w:val="yellow"/>
              </w:rPr>
              <w:t>]</w:t>
            </w:r>
          </w:p>
        </w:tc>
      </w:tr>
    </w:tbl>
    <w:p w14:paraId="3198CEC5" w14:textId="4E411C8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28C3CF2" w14:textId="77777777" w:rsidR="00104F44" w:rsidRPr="00CE3E37" w:rsidRDefault="00104F44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799E3DE" w14:textId="77777777" w:rsidR="0033497F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C79018" w14:textId="77777777" w:rsidR="0033497F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723707D6" w:rsidR="00DC0C55" w:rsidRPr="00CE3E37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3497F">
        <w:rPr>
          <w:rFonts w:ascii="Arial Narrow" w:hAnsi="Arial Narrow" w:cs="Times New Roman"/>
          <w:b/>
          <w:bCs/>
        </w:rPr>
        <w:t>Cena, Spôsob určenia Odplaty, Spôsob určenia maximálnej ceny</w:t>
      </w:r>
    </w:p>
    <w:p w14:paraId="5F798928" w14:textId="548FB605" w:rsidR="001224DA" w:rsidRPr="00CE3E37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6A1E498" w14:textId="52E6672F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1146D8" w14:textId="6DD7C553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BA00E9" w14:textId="3FC19295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2130DB" w14:textId="145BE30E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4224AFC" w14:textId="52A35E8C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6F0B55" w14:textId="1F1299FE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7AA5E25" w14:textId="4DEA861C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7C3C1" w14:textId="458D85F3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1589604" w14:textId="1E7FF005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27BE1E" w14:textId="68B5579E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EF369F" w14:textId="670F2CA7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30FA07" w14:textId="0DF4C5F3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5AA1DF" w14:textId="6A008A07" w:rsidR="001F3866" w:rsidRPr="00CE3E37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BC1A38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4349DB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92805E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C5373A8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888E840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742882A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6E6D7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6AC055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3613CA4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604F85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78965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0BEA6A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D0B5E81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83569E8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42CCA77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5600143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1D2C80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40F714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053862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4EF98A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C7D568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52F26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2A9B1B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8D4967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545D227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29C04EC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5BB0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D941D8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3CDFA4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85C6122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0724EC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C206E30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301C66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BE63A6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01B50A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28B2363" w14:textId="77777777" w:rsidR="0033497F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D9763D" w14:textId="77777777" w:rsidR="0033497F" w:rsidRPr="00CE3E37" w:rsidRDefault="0033497F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7F26C91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1" w:name="bookmark60"/>
      <w:r>
        <w:rPr>
          <w:color w:val="000000"/>
          <w:lang w:eastAsia="sk-SK" w:bidi="sk-SK"/>
        </w:rPr>
        <w:lastRenderedPageBreak/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1"/>
      <w:proofErr w:type="spellEnd"/>
    </w:p>
    <w:p w14:paraId="0A3BD996" w14:textId="28663E14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Cenu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je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oprávnený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fakturovať</w:t>
      </w:r>
      <w:proofErr w:type="spellEnd"/>
      <w:r>
        <w:rPr>
          <w:color w:val="000000"/>
          <w:lang w:val="cs-CZ" w:eastAsia="cs-CZ" w:bidi="cs-CZ"/>
        </w:rPr>
        <w:t xml:space="preserve">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ročným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 a jednou </w:t>
      </w:r>
      <w:proofErr w:type="spellStart"/>
      <w:r>
        <w:rPr>
          <w:color w:val="000000"/>
          <w:lang w:val="cs-CZ" w:eastAsia="cs-CZ" w:bidi="cs-CZ"/>
        </w:rPr>
        <w:t>spoločnou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odbery</w:t>
      </w:r>
      <w:proofErr w:type="spellEnd"/>
      <w:r>
        <w:rPr>
          <w:color w:val="000000"/>
          <w:lang w:val="cs-CZ" w:eastAsia="cs-CZ" w:bidi="cs-CZ"/>
        </w:rPr>
        <w:t xml:space="preserve"> s </w:t>
      </w:r>
      <w:proofErr w:type="spellStart"/>
      <w:r>
        <w:rPr>
          <w:color w:val="000000"/>
          <w:lang w:val="cs-CZ" w:eastAsia="cs-CZ" w:bidi="cs-CZ"/>
        </w:rPr>
        <w:t>mesačným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vyúčtovaním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Zmluvné</w:t>
      </w:r>
      <w:proofErr w:type="spellEnd"/>
      <w:r>
        <w:rPr>
          <w:color w:val="000000"/>
          <w:lang w:val="cs-CZ" w:eastAsia="cs-CZ" w:bidi="cs-CZ"/>
        </w:rPr>
        <w:t xml:space="preserve"> strany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môžu </w:t>
      </w:r>
      <w:proofErr w:type="spellStart"/>
      <w:r>
        <w:rPr>
          <w:color w:val="000000"/>
          <w:lang w:val="cs-CZ" w:eastAsia="cs-CZ" w:bidi="cs-CZ"/>
        </w:rPr>
        <w:t>priebežne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dohodnúť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začlenenia</w:t>
      </w:r>
      <w:proofErr w:type="spellEnd"/>
      <w:r>
        <w:rPr>
          <w:color w:val="000000"/>
          <w:lang w:val="cs-CZ" w:eastAsia="cs-CZ" w:bidi="cs-CZ"/>
        </w:rPr>
        <w:t xml:space="preserve"> jednotlivých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spoločnej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proofErr w:type="spellEnd"/>
      <w:r>
        <w:rPr>
          <w:color w:val="000000"/>
          <w:lang w:val="cs-CZ" w:eastAsia="cs-CZ" w:bidi="cs-CZ"/>
        </w:rPr>
        <w:t>.</w:t>
      </w:r>
    </w:p>
    <w:p w14:paraId="3516F9FA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4D80C549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601D56B6" w14:textId="3D18C2E2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plynu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služby, </w:t>
      </w:r>
      <w:proofErr w:type="spellStart"/>
      <w:r>
        <w:rPr>
          <w:color w:val="000000"/>
          <w:lang w:val="cs-CZ" w:eastAsia="cs-CZ" w:bidi="cs-CZ"/>
        </w:rPr>
        <w:t>pričom</w:t>
      </w:r>
      <w:proofErr w:type="spellEnd"/>
      <w:r>
        <w:rPr>
          <w:color w:val="000000"/>
          <w:lang w:val="cs-CZ" w:eastAsia="cs-CZ" w:bidi="cs-CZ"/>
        </w:rPr>
        <w:t xml:space="preserve"> výška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ich</w:t>
      </w:r>
      <w:proofErr w:type="spellEnd"/>
      <w:r>
        <w:rPr>
          <w:color w:val="000000"/>
          <w:lang w:val="cs-CZ" w:eastAsia="cs-CZ" w:bidi="cs-CZ"/>
        </w:rPr>
        <w:t xml:space="preserve"> počet, termíny </w:t>
      </w:r>
      <w:proofErr w:type="spellStart"/>
      <w:r>
        <w:rPr>
          <w:color w:val="000000"/>
          <w:lang w:val="cs-CZ" w:eastAsia="cs-CZ" w:bidi="cs-CZ"/>
        </w:rPr>
        <w:t>alebo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spôsob </w:t>
      </w:r>
      <w:proofErr w:type="spellStart"/>
      <w:r>
        <w:rPr>
          <w:color w:val="000000"/>
          <w:lang w:val="cs-CZ" w:eastAsia="cs-CZ" w:bidi="cs-CZ"/>
        </w:rPr>
        <w:t>platieb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môže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zmeniť</w:t>
      </w:r>
      <w:proofErr w:type="spellEnd"/>
      <w:r>
        <w:rPr>
          <w:color w:val="000000"/>
          <w:lang w:val="cs-CZ" w:eastAsia="cs-CZ" w:bidi="cs-CZ"/>
        </w:rPr>
        <w:t xml:space="preserve"> po </w:t>
      </w:r>
      <w:proofErr w:type="spellStart"/>
      <w:r>
        <w:rPr>
          <w:color w:val="000000"/>
          <w:lang w:val="cs-CZ" w:eastAsia="cs-CZ" w:bidi="cs-CZ"/>
        </w:rPr>
        <w:t>dohode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strán</w:t>
      </w:r>
      <w:proofErr w:type="spellEnd"/>
      <w:r>
        <w:rPr>
          <w:color w:val="000000"/>
          <w:lang w:val="cs-CZ" w:eastAsia="cs-CZ" w:bidi="cs-CZ"/>
        </w:rPr>
        <w:t>.</w:t>
      </w:r>
    </w:p>
    <w:p w14:paraId="6094721C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roka.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rok.</w:t>
      </w:r>
    </w:p>
    <w:p w14:paraId="39EA8EE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proofErr w:type="spellStart"/>
      <w:r>
        <w:rPr>
          <w:b/>
          <w:bCs/>
          <w:color w:val="000000"/>
          <w:lang w:val="cs-CZ" w:eastAsia="cs-CZ" w:bidi="cs-CZ"/>
        </w:rPr>
        <w:t>mesačným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mesiaca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plynu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>
        <w:rPr>
          <w:color w:val="000000"/>
          <w:lang w:val="cs-CZ" w:eastAsia="cs-CZ" w:bidi="cs-CZ"/>
        </w:rPr>
        <w:t>.</w:t>
      </w:r>
    </w:p>
    <w:p w14:paraId="767877D3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0699BFEF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27"/>
        </w:tabs>
        <w:spacing w:after="500" w:line="240" w:lineRule="auto"/>
        <w:jc w:val="both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5364E50D" w14:textId="77777777" w:rsidR="00D8313C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2" w:name="bookmark62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2"/>
      <w:proofErr w:type="spellEnd"/>
    </w:p>
    <w:p w14:paraId="60B40A86" w14:textId="3BC11794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plynu,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plynu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 w:rsidRPr="00104F44">
        <w:rPr>
          <w:b/>
          <w:bCs/>
          <w:color w:val="000000"/>
          <w:highlight w:val="yellow"/>
          <w:lang w:val="cs-CZ" w:eastAsia="cs-CZ" w:bidi="cs-CZ"/>
        </w:rPr>
        <w:t>od 01.01.202</w:t>
      </w:r>
      <w:r w:rsidR="00104F44" w:rsidRPr="00104F44">
        <w:rPr>
          <w:b/>
          <w:bCs/>
          <w:color w:val="000000"/>
          <w:highlight w:val="yellow"/>
          <w:lang w:val="cs-CZ" w:eastAsia="cs-CZ" w:bidi="cs-CZ"/>
        </w:rPr>
        <w:t>4</w:t>
      </w:r>
      <w:r w:rsidRPr="00104F44">
        <w:rPr>
          <w:b/>
          <w:bCs/>
          <w:color w:val="000000"/>
          <w:highlight w:val="yellow"/>
          <w:lang w:val="cs-CZ" w:eastAsia="cs-CZ" w:bidi="cs-CZ"/>
        </w:rPr>
        <w:t xml:space="preserve"> 00:00:00 hodiny do 31.12.202</w:t>
      </w:r>
      <w:r w:rsidR="00104F44" w:rsidRPr="00104F44">
        <w:rPr>
          <w:b/>
          <w:bCs/>
          <w:color w:val="000000"/>
          <w:highlight w:val="yellow"/>
          <w:lang w:val="cs-CZ" w:eastAsia="cs-CZ" w:bidi="cs-CZ"/>
        </w:rPr>
        <w:t>4</w:t>
      </w:r>
      <w:r w:rsidRPr="00104F44">
        <w:rPr>
          <w:b/>
          <w:bCs/>
          <w:color w:val="000000"/>
          <w:highlight w:val="yellow"/>
          <w:lang w:val="cs-CZ" w:eastAsia="cs-CZ" w:bidi="cs-CZ"/>
        </w:rPr>
        <w:t xml:space="preserve"> 24:00:00 hodiny</w:t>
      </w:r>
      <w:r>
        <w:rPr>
          <w:b/>
          <w:bCs/>
          <w:color w:val="000000"/>
          <w:lang w:val="cs-CZ" w:eastAsia="cs-CZ" w:bidi="cs-CZ"/>
        </w:rPr>
        <w:t>.</w:t>
      </w:r>
    </w:p>
    <w:p w14:paraId="7604989C" w14:textId="363001AB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musí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95F8206" w14:textId="65877B77" w:rsidR="00D8313C" w:rsidRDefault="00D8313C" w:rsidP="00D8313C">
      <w:pPr>
        <w:pStyle w:val="Zkladntext1"/>
        <w:numPr>
          <w:ilvl w:val="1"/>
          <w:numId w:val="26"/>
        </w:numPr>
        <w:tabs>
          <w:tab w:val="left" w:pos="438"/>
        </w:tabs>
        <w:spacing w:after="0" w:line="240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500BE2A4" w14:textId="2CDED357" w:rsidR="00D8313C" w:rsidRDefault="00D8313C" w:rsidP="00D8313C">
      <w:pPr>
        <w:pStyle w:val="Zkladntext1"/>
        <w:spacing w:after="0" w:line="240" w:lineRule="auto"/>
        <w:ind w:left="440"/>
        <w:jc w:val="both"/>
      </w:pPr>
      <w:proofErr w:type="spellStart"/>
      <w:r>
        <w:rPr>
          <w:color w:val="000000"/>
          <w:lang w:val="cs-CZ" w:eastAsia="cs-CZ" w:bidi="cs-CZ"/>
        </w:rPr>
        <w:t>Prístupové</w:t>
      </w:r>
      <w:proofErr w:type="spellEnd"/>
      <w:r>
        <w:rPr>
          <w:color w:val="000000"/>
          <w:lang w:val="cs-CZ" w:eastAsia="cs-CZ" w:bidi="cs-CZ"/>
        </w:rPr>
        <w:t xml:space="preserve"> práva na </w:t>
      </w:r>
      <w:proofErr w:type="spellStart"/>
      <w:r>
        <w:rPr>
          <w:color w:val="000000"/>
          <w:lang w:val="cs-CZ" w:eastAsia="cs-CZ" w:bidi="cs-CZ"/>
        </w:rPr>
        <w:t>prístup</w:t>
      </w:r>
      <w:proofErr w:type="spellEnd"/>
      <w:r>
        <w:rPr>
          <w:color w:val="000000"/>
          <w:lang w:val="cs-CZ" w:eastAsia="cs-CZ" w:bidi="cs-CZ"/>
        </w:rPr>
        <w:t xml:space="preserve"> do elektronického portálu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kontaktnú</w:t>
      </w:r>
      <w:proofErr w:type="spellEnd"/>
      <w:r>
        <w:rPr>
          <w:color w:val="000000"/>
          <w:lang w:val="cs-CZ" w:eastAsia="cs-CZ" w:bidi="cs-CZ"/>
        </w:rPr>
        <w:t xml:space="preserve"> osobu </w:t>
      </w:r>
      <w:proofErr w:type="spellStart"/>
      <w:r>
        <w:rPr>
          <w:color w:val="000000"/>
          <w:lang w:val="cs-CZ" w:eastAsia="cs-CZ" w:bidi="cs-CZ"/>
        </w:rPr>
        <w:t>uvedenú</w:t>
      </w:r>
      <w:proofErr w:type="spellEnd"/>
      <w:r>
        <w:rPr>
          <w:color w:val="000000"/>
          <w:lang w:val="cs-CZ" w:eastAsia="cs-CZ" w:bidi="cs-CZ"/>
        </w:rPr>
        <w:t xml:space="preserve"> v bode </w:t>
      </w:r>
      <w:r w:rsidR="001E152E">
        <w:rPr>
          <w:color w:val="000000"/>
          <w:lang w:val="cs-CZ" w:eastAsia="cs-CZ" w:bidi="cs-CZ"/>
        </w:rPr>
        <w:t>3.17</w:t>
      </w:r>
      <w:r>
        <w:rPr>
          <w:color w:val="000000"/>
          <w:lang w:val="cs-CZ" w:eastAsia="cs-CZ" w:bidi="cs-CZ"/>
        </w:rPr>
        <w:t xml:space="preserve">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>.</w:t>
      </w:r>
    </w:p>
    <w:p w14:paraId="73028BD6" w14:textId="77777777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plynu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43BB7DEA" w14:textId="71CF7F45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0" w:line="233" w:lineRule="auto"/>
        <w:ind w:left="440" w:hanging="440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ADA4683" w14:textId="656E6B22" w:rsidR="00D8313C" w:rsidRDefault="00D8313C" w:rsidP="00D8313C">
      <w:pPr>
        <w:pStyle w:val="Zkladntext1"/>
        <w:numPr>
          <w:ilvl w:val="1"/>
          <w:numId w:val="26"/>
        </w:numPr>
        <w:tabs>
          <w:tab w:val="left" w:pos="466"/>
        </w:tabs>
        <w:spacing w:after="140" w:line="233" w:lineRule="auto"/>
        <w:ind w:left="440" w:hanging="440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plynu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Realizačnej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r w:rsidR="001E152E">
        <w:rPr>
          <w:color w:val="000000"/>
          <w:lang w:val="cs-CZ" w:eastAsia="cs-CZ" w:bidi="cs-CZ"/>
        </w:rPr>
        <w:t>plynu</w:t>
      </w:r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1E152E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6FF49A81" w14:textId="15D830F7" w:rsidR="001F3866" w:rsidRPr="00CE3E37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5679B9DF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6DC7402" w14:textId="77777777" w:rsidR="00D8313C" w:rsidRPr="00CE3E37" w:rsidRDefault="00D8313C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810DDC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A1900C0" w14:textId="4C3E76FA" w:rsidR="001E152E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13673BA0" w14:textId="77777777" w:rsidR="001E152E" w:rsidRPr="00CE3E37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4A4CF504" w14:textId="05607C63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CE3E37" w:rsidSect="008044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6FD8" w14:textId="77777777" w:rsidR="008712DB" w:rsidRDefault="008712DB" w:rsidP="002B256F">
      <w:pPr>
        <w:spacing w:after="0" w:line="240" w:lineRule="auto"/>
      </w:pPr>
      <w:r>
        <w:separator/>
      </w:r>
    </w:p>
  </w:endnote>
  <w:endnote w:type="continuationSeparator" w:id="0">
    <w:p w14:paraId="39CA8EF2" w14:textId="77777777" w:rsidR="008712DB" w:rsidRDefault="008712DB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5B371F8F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33497F">
          <w:rPr>
            <w:rFonts w:ascii="Arial Narrow" w:hAnsi="Arial Narrow"/>
            <w:noProof/>
            <w:sz w:val="20"/>
            <w:szCs w:val="20"/>
          </w:rPr>
          <w:t>11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9464" w14:textId="77777777" w:rsidR="008712DB" w:rsidRDefault="008712DB" w:rsidP="002B256F">
      <w:pPr>
        <w:spacing w:after="0" w:line="240" w:lineRule="auto"/>
      </w:pPr>
      <w:r>
        <w:separator/>
      </w:r>
    </w:p>
  </w:footnote>
  <w:footnote w:type="continuationSeparator" w:id="0">
    <w:p w14:paraId="72DEF814" w14:textId="77777777" w:rsidR="008712DB" w:rsidRDefault="008712DB" w:rsidP="002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2CF5" w14:textId="16F88D77" w:rsidR="007A037B" w:rsidRPr="00486EA8" w:rsidRDefault="007A037B" w:rsidP="007A037B">
    <w:pPr>
      <w:pStyle w:val="Hlavika"/>
      <w:jc w:val="right"/>
      <w:rPr>
        <w:rFonts w:ascii="Garamond" w:hAnsi="Garamond"/>
      </w:rPr>
    </w:pPr>
    <w:r w:rsidRPr="00486EA8">
      <w:rPr>
        <w:rFonts w:ascii="Garamond" w:hAnsi="Garamond"/>
      </w:rPr>
      <w:t xml:space="preserve">Príloha č. </w:t>
    </w:r>
    <w:r>
      <w:rPr>
        <w:rFonts w:ascii="Garamond" w:hAnsi="Garamond"/>
      </w:rPr>
      <w:t>3a – Návrh zmluvy - plyn</w:t>
    </w:r>
  </w:p>
  <w:p w14:paraId="7C16AC0F" w14:textId="77777777" w:rsidR="007A037B" w:rsidRDefault="007A03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4177634">
    <w:abstractNumId w:val="12"/>
  </w:num>
  <w:num w:numId="2" w16cid:durableId="1301838550">
    <w:abstractNumId w:val="1"/>
  </w:num>
  <w:num w:numId="3" w16cid:durableId="463154964">
    <w:abstractNumId w:val="9"/>
  </w:num>
  <w:num w:numId="4" w16cid:durableId="313948297">
    <w:abstractNumId w:val="8"/>
  </w:num>
  <w:num w:numId="5" w16cid:durableId="1513913659">
    <w:abstractNumId w:val="25"/>
  </w:num>
  <w:num w:numId="6" w16cid:durableId="166094177">
    <w:abstractNumId w:val="7"/>
  </w:num>
  <w:num w:numId="7" w16cid:durableId="862401932">
    <w:abstractNumId w:val="20"/>
  </w:num>
  <w:num w:numId="8" w16cid:durableId="1884322787">
    <w:abstractNumId w:val="17"/>
  </w:num>
  <w:num w:numId="9" w16cid:durableId="1074552382">
    <w:abstractNumId w:val="0"/>
  </w:num>
  <w:num w:numId="10" w16cid:durableId="94176050">
    <w:abstractNumId w:val="18"/>
  </w:num>
  <w:num w:numId="11" w16cid:durableId="1307933132">
    <w:abstractNumId w:val="16"/>
  </w:num>
  <w:num w:numId="12" w16cid:durableId="104690793">
    <w:abstractNumId w:val="24"/>
  </w:num>
  <w:num w:numId="13" w16cid:durableId="507866991">
    <w:abstractNumId w:val="13"/>
  </w:num>
  <w:num w:numId="14" w16cid:durableId="2115129473">
    <w:abstractNumId w:val="23"/>
  </w:num>
  <w:num w:numId="15" w16cid:durableId="1136607438">
    <w:abstractNumId w:val="4"/>
  </w:num>
  <w:num w:numId="16" w16cid:durableId="289090120">
    <w:abstractNumId w:val="14"/>
  </w:num>
  <w:num w:numId="17" w16cid:durableId="885340636">
    <w:abstractNumId w:val="19"/>
  </w:num>
  <w:num w:numId="18" w16cid:durableId="1577738356">
    <w:abstractNumId w:val="22"/>
  </w:num>
  <w:num w:numId="19" w16cid:durableId="1538615258">
    <w:abstractNumId w:val="11"/>
  </w:num>
  <w:num w:numId="20" w16cid:durableId="1963463851">
    <w:abstractNumId w:val="21"/>
  </w:num>
  <w:num w:numId="21" w16cid:durableId="776297016">
    <w:abstractNumId w:val="5"/>
  </w:num>
  <w:num w:numId="22" w16cid:durableId="1836919334">
    <w:abstractNumId w:val="2"/>
  </w:num>
  <w:num w:numId="23" w16cid:durableId="1679499433">
    <w:abstractNumId w:val="3"/>
  </w:num>
  <w:num w:numId="24" w16cid:durableId="2035420543">
    <w:abstractNumId w:val="6"/>
  </w:num>
  <w:num w:numId="25" w16cid:durableId="858086376">
    <w:abstractNumId w:val="15"/>
  </w:num>
  <w:num w:numId="26" w16cid:durableId="789469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7B"/>
    <w:rsid w:val="0004092B"/>
    <w:rsid w:val="000A5A72"/>
    <w:rsid w:val="000D5AF6"/>
    <w:rsid w:val="000E00BC"/>
    <w:rsid w:val="00104F44"/>
    <w:rsid w:val="001224DA"/>
    <w:rsid w:val="00163331"/>
    <w:rsid w:val="001E152E"/>
    <w:rsid w:val="001F3866"/>
    <w:rsid w:val="002150EF"/>
    <w:rsid w:val="0024289F"/>
    <w:rsid w:val="00281C0D"/>
    <w:rsid w:val="002848BB"/>
    <w:rsid w:val="002A467F"/>
    <w:rsid w:val="002B256F"/>
    <w:rsid w:val="00320B8A"/>
    <w:rsid w:val="0033497F"/>
    <w:rsid w:val="003A6D63"/>
    <w:rsid w:val="003B1AD5"/>
    <w:rsid w:val="0041283F"/>
    <w:rsid w:val="00416894"/>
    <w:rsid w:val="00432D8D"/>
    <w:rsid w:val="00446FF9"/>
    <w:rsid w:val="004B4123"/>
    <w:rsid w:val="005313BE"/>
    <w:rsid w:val="00570382"/>
    <w:rsid w:val="005B2210"/>
    <w:rsid w:val="00617975"/>
    <w:rsid w:val="006420D6"/>
    <w:rsid w:val="00673737"/>
    <w:rsid w:val="00683B20"/>
    <w:rsid w:val="006A0474"/>
    <w:rsid w:val="006B1219"/>
    <w:rsid w:val="006C7F4D"/>
    <w:rsid w:val="006D76E7"/>
    <w:rsid w:val="006E025D"/>
    <w:rsid w:val="006E19EC"/>
    <w:rsid w:val="006E5065"/>
    <w:rsid w:val="007451B2"/>
    <w:rsid w:val="0074564E"/>
    <w:rsid w:val="0074585B"/>
    <w:rsid w:val="00757A8D"/>
    <w:rsid w:val="00764823"/>
    <w:rsid w:val="007672D8"/>
    <w:rsid w:val="00784AFD"/>
    <w:rsid w:val="00784B3E"/>
    <w:rsid w:val="007946E7"/>
    <w:rsid w:val="007A037B"/>
    <w:rsid w:val="008044BF"/>
    <w:rsid w:val="00811679"/>
    <w:rsid w:val="00820F22"/>
    <w:rsid w:val="00827D67"/>
    <w:rsid w:val="008712DB"/>
    <w:rsid w:val="00876C61"/>
    <w:rsid w:val="00891F25"/>
    <w:rsid w:val="00894A34"/>
    <w:rsid w:val="008B0852"/>
    <w:rsid w:val="008F1F7E"/>
    <w:rsid w:val="008F7C9D"/>
    <w:rsid w:val="00964575"/>
    <w:rsid w:val="00984E6D"/>
    <w:rsid w:val="009A559D"/>
    <w:rsid w:val="009D15F6"/>
    <w:rsid w:val="00A1385A"/>
    <w:rsid w:val="00A21F40"/>
    <w:rsid w:val="00A42BE3"/>
    <w:rsid w:val="00A44A5B"/>
    <w:rsid w:val="00AB5552"/>
    <w:rsid w:val="00AB7B30"/>
    <w:rsid w:val="00AF3241"/>
    <w:rsid w:val="00B35E30"/>
    <w:rsid w:val="00BB1756"/>
    <w:rsid w:val="00C26222"/>
    <w:rsid w:val="00C46C5E"/>
    <w:rsid w:val="00C477F9"/>
    <w:rsid w:val="00CC21D2"/>
    <w:rsid w:val="00CD464D"/>
    <w:rsid w:val="00CE3E37"/>
    <w:rsid w:val="00D0367B"/>
    <w:rsid w:val="00D156C4"/>
    <w:rsid w:val="00D65020"/>
    <w:rsid w:val="00D8313C"/>
    <w:rsid w:val="00D9432E"/>
    <w:rsid w:val="00DC0C55"/>
    <w:rsid w:val="00DD3317"/>
    <w:rsid w:val="00DE2048"/>
    <w:rsid w:val="00E21F64"/>
    <w:rsid w:val="00E846D5"/>
    <w:rsid w:val="00EB4387"/>
    <w:rsid w:val="00EC2A20"/>
    <w:rsid w:val="00F25778"/>
    <w:rsid w:val="00F41034"/>
    <w:rsid w:val="00F841AD"/>
    <w:rsid w:val="00FB2243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2CDB"/>
  <w15:docId w15:val="{D6C45941-0045-4D58-A671-C912A49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77AD-6B73-44CD-8417-BEF9EFC9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5362</Words>
  <Characters>30569</Characters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2021-10-15T10:49:00Z</cp:lastPrinted>
  <dcterms:created xsi:type="dcterms:W3CDTF">2021-10-15T16:55:00Z</dcterms:created>
  <dcterms:modified xsi:type="dcterms:W3CDTF">2023-04-17T01:03:00Z</dcterms:modified>
</cp:coreProperties>
</file>