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BEB4" w14:textId="0D3F0D49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="00CA0640">
        <w:rPr>
          <w:rFonts w:ascii="Garamond" w:hAnsi="Garamond"/>
          <w:color w:val="000000"/>
          <w:sz w:val="20"/>
          <w:szCs w:val="20"/>
        </w:rPr>
        <w:t>.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 xml:space="preserve">+ 421 950 854 124    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2D4DF6DD" w:rsidR="00523CA6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CHALLENGE</w:t>
      </w:r>
      <w:r w:rsidR="00523CA6" w:rsidRPr="00A84695">
        <w:rPr>
          <w:rFonts w:ascii="Garamond" w:hAnsi="Garamond"/>
          <w:b/>
          <w:sz w:val="20"/>
          <w:szCs w:val="20"/>
        </w:rPr>
        <w:t xml:space="preserve"> – </w:t>
      </w:r>
      <w:r>
        <w:rPr>
          <w:rFonts w:ascii="Garamond" w:hAnsi="Garamond"/>
          <w:b/>
          <w:sz w:val="20"/>
          <w:szCs w:val="20"/>
        </w:rPr>
        <w:t>MARKET RESEARCH</w:t>
      </w:r>
    </w:p>
    <w:p w14:paraId="57B44D9F" w14:textId="00726166" w:rsidR="00523CA6" w:rsidRDefault="00CA0640" w:rsidP="002063B9">
      <w:pPr>
        <w:jc w:val="center"/>
        <w:rPr>
          <w:rFonts w:ascii="Garamond" w:hAnsi="Garamond"/>
          <w:sz w:val="20"/>
          <w:szCs w:val="20"/>
        </w:rPr>
      </w:pP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purpose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determining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estimated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value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subject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584B940F" w14:textId="1029F615" w:rsidR="00523CA6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 w:rsidRPr="00CA0640">
        <w:rPr>
          <w:rFonts w:ascii="Garamond" w:hAnsi="Garamond"/>
          <w:b/>
          <w:sz w:val="20"/>
          <w:szCs w:val="20"/>
        </w:rPr>
        <w:t>"</w:t>
      </w:r>
      <w:r w:rsidR="008F247B" w:rsidRPr="002B55CB">
        <w:rPr>
          <w:rFonts w:ascii="Garamond" w:hAnsi="Garamond"/>
          <w:b/>
          <w:sz w:val="20"/>
          <w:szCs w:val="20"/>
        </w:rPr>
        <w:t xml:space="preserve"> Server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based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software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platform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for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acquisition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,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exchange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,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controll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analyze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8F247B" w:rsidRPr="002B55CB">
        <w:rPr>
          <w:rFonts w:ascii="Garamond" w:hAnsi="Garamond"/>
          <w:b/>
          <w:sz w:val="20"/>
          <w:szCs w:val="20"/>
        </w:rPr>
        <w:t>data</w:t>
      </w:r>
      <w:proofErr w:type="spellEnd"/>
      <w:r w:rsidR="008F247B" w:rsidRPr="002B55CB">
        <w:rPr>
          <w:rFonts w:ascii="Garamond" w:hAnsi="Garamond"/>
          <w:b/>
          <w:sz w:val="20"/>
          <w:szCs w:val="20"/>
        </w:rPr>
        <w:t xml:space="preserve"> in Industry</w:t>
      </w:r>
      <w:r w:rsidR="00C23DE0">
        <w:rPr>
          <w:rFonts w:ascii="Garamond" w:hAnsi="Garamond"/>
          <w:b/>
          <w:sz w:val="20"/>
          <w:szCs w:val="20"/>
        </w:rPr>
        <w:t>.“</w:t>
      </w:r>
    </w:p>
    <w:p w14:paraId="72781E32" w14:textId="77777777" w:rsidR="00CA0640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073F5AF8" w:rsidR="00523CA6" w:rsidRPr="00A84695" w:rsidRDefault="00CA0640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CA0640">
        <w:rPr>
          <w:rFonts w:ascii="Garamond" w:hAnsi="Garamond"/>
          <w:b/>
          <w:sz w:val="20"/>
          <w:szCs w:val="20"/>
        </w:rPr>
        <w:t>Identification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contracting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authority</w:t>
      </w:r>
      <w:proofErr w:type="spellEnd"/>
      <w:r w:rsidR="00523CA6" w:rsidRPr="00A84695">
        <w:rPr>
          <w:rFonts w:ascii="Garamond" w:hAnsi="Garamond"/>
          <w:b/>
          <w:sz w:val="20"/>
          <w:szCs w:val="20"/>
        </w:rPr>
        <w:t xml:space="preserve"> :</w:t>
      </w:r>
    </w:p>
    <w:p w14:paraId="3D5D3E15" w14:textId="11C4F25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Company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Name</w:t>
      </w:r>
      <w:proofErr w:type="spellEnd"/>
      <w:r w:rsidR="006B1594" w:rsidRPr="00A84695">
        <w:rPr>
          <w:rFonts w:ascii="Garamond" w:hAnsi="Garamond"/>
          <w:sz w:val="20"/>
          <w:szCs w:val="20"/>
        </w:rPr>
        <w:t xml:space="preserve">:  </w:t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D10ED1F" w:rsidR="006B1594" w:rsidRPr="00A84695" w:rsidRDefault="00CA0640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Adress</w:t>
      </w:r>
      <w:proofErr w:type="spellEnd"/>
      <w:r>
        <w:rPr>
          <w:rFonts w:ascii="Garamond" w:hAnsi="Garamond"/>
          <w:color w:val="000000"/>
          <w:sz w:val="20"/>
          <w:szCs w:val="20"/>
        </w:rPr>
        <w:t>:</w:t>
      </w:r>
      <w:r w:rsidR="00D753EF"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628D8F0E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Bussines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color w:val="000000"/>
          <w:sz w:val="20"/>
          <w:szCs w:val="20"/>
        </w:rPr>
        <w:t>license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ID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6CEFABD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TAX </w:t>
      </w:r>
      <w:r w:rsidR="006B1594" w:rsidRPr="00A84695">
        <w:rPr>
          <w:rFonts w:ascii="Garamond" w:hAnsi="Garamond"/>
          <w:color w:val="000000"/>
          <w:sz w:val="20"/>
          <w:szCs w:val="20"/>
        </w:rPr>
        <w:t>I</w:t>
      </w:r>
      <w:r>
        <w:rPr>
          <w:rFonts w:ascii="Garamond" w:hAnsi="Garamond"/>
          <w:color w:val="000000"/>
          <w:sz w:val="20"/>
          <w:szCs w:val="20"/>
        </w:rPr>
        <w:t>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4E249646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7C4798">
        <w:rPr>
          <w:rFonts w:ascii="Garamond" w:hAnsi="Garamond"/>
          <w:color w:val="000000"/>
          <w:sz w:val="20"/>
          <w:szCs w:val="20"/>
        </w:rPr>
        <w:t>Legal</w:t>
      </w:r>
      <w:proofErr w:type="spellEnd"/>
      <w:r w:rsidRPr="007C4798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7C4798">
        <w:rPr>
          <w:rFonts w:ascii="Garamond" w:hAnsi="Garamond"/>
          <w:color w:val="000000"/>
          <w:sz w:val="20"/>
          <w:szCs w:val="20"/>
        </w:rPr>
        <w:t>representative</w:t>
      </w:r>
      <w:proofErr w:type="spellEnd"/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1D0FE9">
        <w:rPr>
          <w:rFonts w:ascii="Garamond" w:hAnsi="Garamond"/>
          <w:color w:val="000000"/>
          <w:sz w:val="20"/>
          <w:szCs w:val="20"/>
        </w:rPr>
        <w:t xml:space="preserve">Mgr. </w:t>
      </w:r>
      <w:proofErr w:type="spellStart"/>
      <w:r w:rsidR="001D0FE9" w:rsidRPr="00A84695">
        <w:rPr>
          <w:rFonts w:ascii="Garamond" w:hAnsi="Garamond"/>
          <w:color w:val="000000"/>
          <w:sz w:val="20"/>
          <w:szCs w:val="20"/>
        </w:rPr>
        <w:t>Frišnič</w:t>
      </w:r>
      <w:r w:rsidR="001D0FE9">
        <w:rPr>
          <w:rFonts w:ascii="Garamond" w:hAnsi="Garamond"/>
          <w:color w:val="000000"/>
          <w:sz w:val="20"/>
          <w:szCs w:val="20"/>
        </w:rPr>
        <w:t>ová</w:t>
      </w:r>
      <w:proofErr w:type="spellEnd"/>
      <w:r w:rsidR="001D0FE9" w:rsidRPr="00A84695">
        <w:rPr>
          <w:rFonts w:ascii="Garamond" w:hAnsi="Garamond"/>
          <w:color w:val="000000"/>
          <w:sz w:val="20"/>
          <w:szCs w:val="20"/>
        </w:rPr>
        <w:t xml:space="preserve"> </w:t>
      </w:r>
      <w:r w:rsidR="001D0FE9">
        <w:rPr>
          <w:rFonts w:ascii="Garamond" w:hAnsi="Garamond"/>
          <w:color w:val="000000"/>
          <w:sz w:val="20"/>
          <w:szCs w:val="20"/>
        </w:rPr>
        <w:t>Veronika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13F1006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Contact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 xml:space="preserve"> person</w:t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3E2FC0D1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</w:t>
      </w:r>
      <w:r w:rsidR="007C4798">
        <w:rPr>
          <w:rFonts w:ascii="Garamond" w:hAnsi="Garamond"/>
          <w:b/>
          <w:color w:val="000000"/>
          <w:sz w:val="20"/>
          <w:szCs w:val="20"/>
        </w:rPr>
        <w:t>phone</w:t>
      </w:r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5F7515E" w14:textId="77777777" w:rsidR="008F247B" w:rsidRDefault="007C4798" w:rsidP="008F247B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Name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EB50E6" w:rsidRPr="00A84695">
        <w:rPr>
          <w:rFonts w:ascii="Garamond" w:hAnsi="Garamond"/>
          <w:b/>
          <w:sz w:val="20"/>
          <w:szCs w:val="20"/>
        </w:rPr>
        <w:t>:</w:t>
      </w:r>
      <w:r w:rsidR="00EB50E6">
        <w:rPr>
          <w:rFonts w:ascii="Garamond" w:hAnsi="Garamond"/>
          <w:b/>
          <w:sz w:val="20"/>
          <w:szCs w:val="20"/>
        </w:rPr>
        <w:t xml:space="preserve">                                        </w:t>
      </w:r>
      <w:r w:rsidR="008F247B" w:rsidRPr="008F247B">
        <w:rPr>
          <w:rFonts w:ascii="Garamond" w:hAnsi="Garamond"/>
          <w:b/>
          <w:sz w:val="20"/>
          <w:szCs w:val="20"/>
        </w:rPr>
        <w:t xml:space="preserve">Server </w:t>
      </w:r>
      <w:proofErr w:type="spellStart"/>
      <w:r w:rsidR="008F247B" w:rsidRPr="008F247B">
        <w:rPr>
          <w:rFonts w:ascii="Garamond" w:hAnsi="Garamond"/>
          <w:b/>
          <w:sz w:val="20"/>
          <w:szCs w:val="20"/>
        </w:rPr>
        <w:t>based</w:t>
      </w:r>
      <w:proofErr w:type="spellEnd"/>
      <w:r w:rsidR="008F247B" w:rsidRPr="008F247B">
        <w:rPr>
          <w:rFonts w:ascii="Garamond" w:hAnsi="Garamond"/>
          <w:b/>
          <w:sz w:val="20"/>
          <w:szCs w:val="20"/>
        </w:rPr>
        <w:t xml:space="preserve"> software </w:t>
      </w:r>
      <w:proofErr w:type="spellStart"/>
      <w:r w:rsidR="008F247B" w:rsidRPr="008F247B">
        <w:rPr>
          <w:rFonts w:ascii="Garamond" w:hAnsi="Garamond"/>
          <w:b/>
          <w:sz w:val="20"/>
          <w:szCs w:val="20"/>
        </w:rPr>
        <w:t>platform</w:t>
      </w:r>
      <w:proofErr w:type="spellEnd"/>
      <w:r w:rsidR="008F247B" w:rsidRPr="008F247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8F247B" w:rsidRPr="008F247B">
        <w:rPr>
          <w:rFonts w:ascii="Garamond" w:hAnsi="Garamond"/>
          <w:b/>
          <w:sz w:val="20"/>
          <w:szCs w:val="20"/>
        </w:rPr>
        <w:t>for</w:t>
      </w:r>
      <w:proofErr w:type="spellEnd"/>
      <w:r w:rsidR="008F247B" w:rsidRPr="008F247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8F247B" w:rsidRPr="008F247B">
        <w:rPr>
          <w:rFonts w:ascii="Garamond" w:hAnsi="Garamond"/>
          <w:b/>
          <w:sz w:val="20"/>
          <w:szCs w:val="20"/>
        </w:rPr>
        <w:t>acquisition</w:t>
      </w:r>
      <w:proofErr w:type="spellEnd"/>
      <w:r w:rsidR="008F247B" w:rsidRPr="008F247B">
        <w:rPr>
          <w:rFonts w:ascii="Garamond" w:hAnsi="Garamond"/>
          <w:b/>
          <w:sz w:val="20"/>
          <w:szCs w:val="20"/>
        </w:rPr>
        <w:t xml:space="preserve">, </w:t>
      </w:r>
      <w:r w:rsidR="008F247B">
        <w:rPr>
          <w:rFonts w:ascii="Garamond" w:hAnsi="Garamond"/>
          <w:b/>
          <w:sz w:val="20"/>
          <w:szCs w:val="20"/>
        </w:rPr>
        <w:t xml:space="preserve">   </w:t>
      </w:r>
    </w:p>
    <w:p w14:paraId="117FCAC6" w14:textId="49EFF6C9" w:rsidR="00C23DE0" w:rsidRDefault="008F247B" w:rsidP="008F247B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 </w:t>
      </w:r>
      <w:proofErr w:type="spellStart"/>
      <w:r w:rsidRPr="008F247B">
        <w:rPr>
          <w:rFonts w:ascii="Garamond" w:hAnsi="Garamond"/>
          <w:b/>
          <w:sz w:val="20"/>
          <w:szCs w:val="20"/>
        </w:rPr>
        <w:t>exchange</w:t>
      </w:r>
      <w:proofErr w:type="spellEnd"/>
      <w:r w:rsidRPr="008F247B">
        <w:rPr>
          <w:rFonts w:ascii="Garamond" w:hAnsi="Garamond"/>
          <w:b/>
          <w:sz w:val="20"/>
          <w:szCs w:val="20"/>
        </w:rPr>
        <w:t xml:space="preserve">, </w:t>
      </w:r>
      <w:proofErr w:type="spellStart"/>
      <w:r w:rsidRPr="008F247B">
        <w:rPr>
          <w:rFonts w:ascii="Garamond" w:hAnsi="Garamond"/>
          <w:b/>
          <w:sz w:val="20"/>
          <w:szCs w:val="20"/>
        </w:rPr>
        <w:t>controll</w:t>
      </w:r>
      <w:proofErr w:type="spellEnd"/>
      <w:r w:rsidRPr="008F247B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Pr="008F247B">
        <w:rPr>
          <w:rFonts w:ascii="Garamond" w:hAnsi="Garamond"/>
          <w:b/>
          <w:sz w:val="20"/>
          <w:szCs w:val="20"/>
        </w:rPr>
        <w:t>analyze</w:t>
      </w:r>
      <w:proofErr w:type="spellEnd"/>
      <w:r w:rsidRPr="008F247B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8F247B">
        <w:rPr>
          <w:rFonts w:ascii="Garamond" w:hAnsi="Garamond"/>
          <w:b/>
          <w:sz w:val="20"/>
          <w:szCs w:val="20"/>
        </w:rPr>
        <w:t>data</w:t>
      </w:r>
      <w:proofErr w:type="spellEnd"/>
      <w:r w:rsidRPr="008F247B">
        <w:rPr>
          <w:rFonts w:ascii="Garamond" w:hAnsi="Garamond"/>
          <w:b/>
          <w:sz w:val="20"/>
          <w:szCs w:val="20"/>
        </w:rPr>
        <w:t xml:space="preserve"> in Industry</w:t>
      </w:r>
    </w:p>
    <w:p w14:paraId="6675B5E0" w14:textId="77777777" w:rsidR="002B55CB" w:rsidRPr="00A84695" w:rsidRDefault="002B55CB" w:rsidP="008F247B">
      <w:pPr>
        <w:ind w:left="720"/>
        <w:rPr>
          <w:rFonts w:ascii="Garamond" w:hAnsi="Garamond"/>
          <w:b/>
          <w:sz w:val="20"/>
          <w:szCs w:val="20"/>
        </w:rPr>
      </w:pPr>
    </w:p>
    <w:p w14:paraId="79E32E3B" w14:textId="27AF8E80" w:rsidR="00EB50E6" w:rsidRPr="00EB50E6" w:rsidRDefault="00EB50E6" w:rsidP="00EB50E6">
      <w:pPr>
        <w:pStyle w:val="Odsekzoznamu"/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sz w:val="20"/>
          <w:szCs w:val="20"/>
        </w:rPr>
        <w:t>N</w:t>
      </w:r>
      <w:r w:rsidR="00C23DE0">
        <w:rPr>
          <w:rFonts w:ascii="Garamond" w:hAnsi="Garamond"/>
          <w:b/>
          <w:sz w:val="20"/>
          <w:szCs w:val="20"/>
        </w:rPr>
        <w:t>ame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</w:t>
      </w:r>
      <w:r w:rsidRPr="00EB50E6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B50E6">
        <w:rPr>
          <w:rFonts w:ascii="Garamond" w:hAnsi="Garamond"/>
          <w:b/>
          <w:sz w:val="20"/>
          <w:szCs w:val="20"/>
        </w:rPr>
        <w:t>proje</w:t>
      </w:r>
      <w:r w:rsidR="00C23DE0">
        <w:rPr>
          <w:rFonts w:ascii="Garamond" w:hAnsi="Garamond"/>
          <w:b/>
          <w:sz w:val="20"/>
          <w:szCs w:val="20"/>
        </w:rPr>
        <w:t>ct</w:t>
      </w:r>
      <w:proofErr w:type="spellEnd"/>
      <w:r w:rsidRPr="00EB50E6">
        <w:rPr>
          <w:rFonts w:ascii="Garamond" w:hAnsi="Garamond"/>
          <w:b/>
          <w:sz w:val="20"/>
          <w:szCs w:val="20"/>
        </w:rPr>
        <w:t xml:space="preserve">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proofErr w:type="spellStart"/>
      <w:r w:rsidR="00C23DE0">
        <w:rPr>
          <w:rFonts w:ascii="Garamond" w:hAnsi="Garamond"/>
          <w:b/>
          <w:sz w:val="20"/>
          <w:szCs w:val="20"/>
        </w:rPr>
        <w:t>Automatization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="00C23DE0">
        <w:rPr>
          <w:rFonts w:ascii="Garamond" w:hAnsi="Garamond"/>
          <w:b/>
          <w:sz w:val="20"/>
          <w:szCs w:val="20"/>
        </w:rPr>
        <w:t>special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b/>
          <w:sz w:val="20"/>
          <w:szCs w:val="20"/>
        </w:rPr>
        <w:t>plant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b/>
          <w:sz w:val="20"/>
          <w:szCs w:val="20"/>
        </w:rPr>
        <w:t>production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</w:p>
    <w:p w14:paraId="1B718ED6" w14:textId="0FC00FF7" w:rsidR="00EB50E6" w:rsidRDefault="00E5326D" w:rsidP="00EB50E6">
      <w:pPr>
        <w:pStyle w:val="Odsekzoznamu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Provider</w:t>
      </w:r>
      <w:proofErr w:type="spellEnd"/>
      <w:r w:rsidR="00EB50E6" w:rsidRPr="00EB50E6">
        <w:rPr>
          <w:rFonts w:ascii="Garamond" w:hAnsi="Garamond"/>
          <w:b/>
          <w:sz w:val="20"/>
          <w:szCs w:val="20"/>
        </w:rPr>
        <w:t>:</w:t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="00EB50E6"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7A832C51" w:rsidR="00EB50E6" w:rsidRDefault="00E5326D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Nr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>.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0"/>
          <w:szCs w:val="20"/>
        </w:rPr>
        <w:t>challenge</w:t>
      </w:r>
      <w:proofErr w:type="spellEnd"/>
      <w:r w:rsidR="00EB50E6" w:rsidRPr="00EB50E6">
        <w:rPr>
          <w:rFonts w:ascii="Garamond" w:hAnsi="Garamond"/>
          <w:b/>
          <w:color w:val="000000"/>
          <w:sz w:val="20"/>
          <w:szCs w:val="20"/>
        </w:rPr>
        <w:t>: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8F247B">
        <w:rPr>
          <w:rFonts w:ascii="Garamond" w:hAnsi="Garamond"/>
          <w:color w:val="000000"/>
          <w:sz w:val="20"/>
          <w:szCs w:val="20"/>
        </w:rPr>
        <w:t>65</w:t>
      </w:r>
      <w:r w:rsidR="00EB50E6"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428E1E9E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color w:val="000000"/>
          <w:sz w:val="20"/>
          <w:szCs w:val="20"/>
        </w:rPr>
        <w:t>Ope</w:t>
      </w:r>
      <w:r w:rsidR="00C23DE0">
        <w:rPr>
          <w:rFonts w:ascii="Garamond" w:hAnsi="Garamond"/>
          <w:b/>
          <w:color w:val="000000"/>
          <w:sz w:val="20"/>
          <w:szCs w:val="20"/>
        </w:rPr>
        <w:t>ration</w:t>
      </w:r>
      <w:proofErr w:type="spellEnd"/>
      <w:r w:rsidRPr="00EB50E6">
        <w:rPr>
          <w:rFonts w:ascii="Garamond" w:hAnsi="Garamond"/>
          <w:b/>
          <w:color w:val="000000"/>
          <w:sz w:val="20"/>
          <w:szCs w:val="20"/>
        </w:rPr>
        <w:t xml:space="preserve">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>Program rozvoja vidieka SR 2014-2022 (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next</w:t>
      </w:r>
      <w:proofErr w:type="spellEnd"/>
      <w:r w:rsidR="00C23DE0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only</w:t>
      </w:r>
      <w:proofErr w:type="spellEnd"/>
      <w:r w:rsidRPr="00EB50E6">
        <w:rPr>
          <w:rFonts w:ascii="Garamond" w:hAnsi="Garamond"/>
          <w:color w:val="000000"/>
          <w:sz w:val="20"/>
          <w:szCs w:val="20"/>
        </w:rPr>
        <w:t xml:space="preserve">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3E0162E4" w:rsidR="00D85E66" w:rsidRPr="00A84695" w:rsidRDefault="00E5326D" w:rsidP="00D85E66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611B7BC" w14:textId="477C80B7" w:rsidR="00D85E66" w:rsidRPr="00A84695" w:rsidRDefault="00E5326D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Sub-measure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="00D85E66"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0FCB30ED" w14:textId="450979F4" w:rsidR="00EB50E6" w:rsidRDefault="00D85E66" w:rsidP="00EB50E6">
      <w:pPr>
        <w:ind w:left="4253" w:right="1" w:hanging="3544"/>
        <w:rPr>
          <w:rFonts w:ascii="Garamond" w:hAnsi="Garamond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F</w:t>
      </w:r>
      <w:r w:rsidR="00E5326D">
        <w:rPr>
          <w:rFonts w:ascii="Garamond" w:hAnsi="Garamond"/>
          <w:b/>
          <w:color w:val="000000"/>
          <w:sz w:val="20"/>
          <w:szCs w:val="20"/>
        </w:rPr>
        <w:t>u</w:t>
      </w:r>
      <w:r w:rsidRPr="00A84695">
        <w:rPr>
          <w:rFonts w:ascii="Garamond" w:hAnsi="Garamond"/>
          <w:b/>
          <w:color w:val="000000"/>
          <w:sz w:val="20"/>
          <w:szCs w:val="20"/>
        </w:rPr>
        <w:t>nd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b/>
          <w:sz w:val="20"/>
          <w:szCs w:val="20"/>
        </w:rPr>
        <w:tab/>
      </w:r>
      <w:proofErr w:type="spellStart"/>
      <w:r w:rsidR="00E5326D" w:rsidRPr="00E5326D">
        <w:rPr>
          <w:rFonts w:ascii="Garamond" w:hAnsi="Garamond"/>
          <w:sz w:val="20"/>
          <w:szCs w:val="20"/>
        </w:rPr>
        <w:t>European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Agricultural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Fund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for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Development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: </w:t>
      </w:r>
      <w:proofErr w:type="spellStart"/>
      <w:r w:rsidR="00E5326D" w:rsidRPr="00E5326D">
        <w:rPr>
          <w:rFonts w:ascii="Garamond" w:hAnsi="Garamond"/>
          <w:sz w:val="20"/>
          <w:szCs w:val="20"/>
        </w:rPr>
        <w:t>Europe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invests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in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areas</w:t>
      </w:r>
      <w:proofErr w:type="spellEnd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75AF1160" w:rsidR="00D85E66" w:rsidRDefault="00E5326D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Type of </w:t>
      </w:r>
      <w:proofErr w:type="spellStart"/>
      <w:r>
        <w:rPr>
          <w:rFonts w:ascii="Garamond" w:hAnsi="Garamond"/>
          <w:b/>
          <w:sz w:val="20"/>
          <w:szCs w:val="20"/>
        </w:rPr>
        <w:t>procurement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goods</w:t>
      </w:r>
      <w:proofErr w:type="spellEnd"/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08B1F16A" w:rsidR="001933A1" w:rsidRPr="00EB50E6" w:rsidRDefault="00E5326D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E5326D">
        <w:rPr>
          <w:rFonts w:ascii="Garamond" w:hAnsi="Garamond"/>
          <w:b/>
          <w:sz w:val="20"/>
          <w:szCs w:val="20"/>
        </w:rPr>
        <w:t>Place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delivery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subject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1D0FE9">
        <w:rPr>
          <w:rFonts w:ascii="Garamond" w:hAnsi="Garamond"/>
          <w:sz w:val="20"/>
          <w:szCs w:val="20"/>
        </w:rPr>
        <w:t>Lechnica 99</w:t>
      </w:r>
      <w:r w:rsidR="001D0FE9" w:rsidRPr="00A84695">
        <w:rPr>
          <w:rFonts w:ascii="Garamond" w:hAnsi="Garamond"/>
          <w:sz w:val="20"/>
          <w:szCs w:val="20"/>
        </w:rPr>
        <w:t xml:space="preserve">, </w:t>
      </w:r>
      <w:r w:rsidR="001D0FE9">
        <w:rPr>
          <w:rFonts w:ascii="Garamond" w:hAnsi="Garamond"/>
          <w:sz w:val="20"/>
          <w:szCs w:val="20"/>
        </w:rPr>
        <w:t>059 06</w:t>
      </w:r>
      <w:r w:rsidR="001D0FE9" w:rsidRPr="00A84695">
        <w:rPr>
          <w:rFonts w:ascii="Garamond" w:hAnsi="Garamond"/>
          <w:sz w:val="20"/>
          <w:szCs w:val="20"/>
        </w:rPr>
        <w:t xml:space="preserve"> </w:t>
      </w:r>
      <w:r w:rsidR="001D0FE9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3CBA024D" w:rsidR="001933A1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Deadline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for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submission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tenders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1D0FE9">
        <w:rPr>
          <w:rFonts w:ascii="Garamond" w:hAnsi="Garamond"/>
          <w:b/>
          <w:sz w:val="20"/>
          <w:szCs w:val="20"/>
        </w:rPr>
        <w:t>30</w:t>
      </w:r>
      <w:r w:rsidR="001933A1" w:rsidRPr="00A84695">
        <w:rPr>
          <w:rFonts w:ascii="Garamond" w:hAnsi="Garamond"/>
          <w:b/>
          <w:sz w:val="20"/>
          <w:szCs w:val="20"/>
        </w:rPr>
        <w:t>.0</w:t>
      </w:r>
      <w:r w:rsidR="008F247B">
        <w:rPr>
          <w:rFonts w:ascii="Garamond" w:hAnsi="Garamond"/>
          <w:b/>
          <w:sz w:val="20"/>
          <w:szCs w:val="20"/>
        </w:rPr>
        <w:t>5</w:t>
      </w:r>
      <w:r w:rsidR="001933A1" w:rsidRPr="00A84695">
        <w:rPr>
          <w:rFonts w:ascii="Garamond" w:hAnsi="Garamond"/>
          <w:b/>
          <w:sz w:val="20"/>
          <w:szCs w:val="20"/>
        </w:rPr>
        <w:t>.202</w:t>
      </w:r>
      <w:r w:rsidR="008F247B">
        <w:rPr>
          <w:rFonts w:ascii="Garamond" w:hAnsi="Garamond"/>
          <w:b/>
          <w:sz w:val="20"/>
          <w:szCs w:val="20"/>
        </w:rPr>
        <w:t>3</w:t>
      </w:r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until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r w:rsidR="001D0FE9">
        <w:rPr>
          <w:rFonts w:ascii="Garamond" w:hAnsi="Garamond"/>
          <w:b/>
          <w:sz w:val="20"/>
          <w:szCs w:val="20"/>
        </w:rPr>
        <w:t>19</w:t>
      </w:r>
      <w:r w:rsidR="001933A1" w:rsidRPr="00A84695">
        <w:rPr>
          <w:rFonts w:ascii="Garamond" w:hAnsi="Garamond"/>
          <w:b/>
          <w:sz w:val="20"/>
          <w:szCs w:val="20"/>
        </w:rPr>
        <w:t>:</w:t>
      </w:r>
      <w:r w:rsidR="00686FE2">
        <w:rPr>
          <w:rFonts w:ascii="Garamond" w:hAnsi="Garamond"/>
          <w:b/>
          <w:sz w:val="20"/>
          <w:szCs w:val="20"/>
        </w:rPr>
        <w:t>0</w:t>
      </w:r>
      <w:r w:rsidR="001933A1" w:rsidRPr="00A84695">
        <w:rPr>
          <w:rFonts w:ascii="Garamond" w:hAnsi="Garamond"/>
          <w:b/>
          <w:sz w:val="20"/>
          <w:szCs w:val="20"/>
        </w:rPr>
        <w:t>0</w:t>
      </w:r>
      <w:r w:rsidR="001D0FE9">
        <w:rPr>
          <w:rFonts w:ascii="Garamond" w:hAnsi="Garamond"/>
          <w:b/>
          <w:sz w:val="20"/>
          <w:szCs w:val="20"/>
        </w:rPr>
        <w:t xml:space="preserve"> </w:t>
      </w:r>
      <w:r w:rsidR="001D0FE9" w:rsidRPr="001D0FE9">
        <w:rPr>
          <w:rFonts w:ascii="Garamond" w:hAnsi="Garamond"/>
          <w:bCs/>
          <w:sz w:val="20"/>
          <w:szCs w:val="20"/>
        </w:rPr>
        <w:t>CEST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4C396B77" w:rsidR="001933A1" w:rsidRPr="00A84695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9B6AF4">
        <w:rPr>
          <w:rFonts w:ascii="Garamond" w:hAnsi="Garamond"/>
          <w:b/>
          <w:sz w:val="20"/>
          <w:szCs w:val="20"/>
        </w:rPr>
        <w:t>Place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b/>
          <w:sz w:val="20"/>
          <w:szCs w:val="20"/>
        </w:rPr>
        <w:t>method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submission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the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tender: </w:t>
      </w:r>
      <w:proofErr w:type="spellStart"/>
      <w:r w:rsidRPr="009B6AF4">
        <w:rPr>
          <w:rFonts w:ascii="Garamond" w:hAnsi="Garamond"/>
          <w:b/>
          <w:sz w:val="20"/>
          <w:szCs w:val="20"/>
        </w:rPr>
        <w:t>exclusively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b/>
          <w:sz w:val="20"/>
          <w:szCs w:val="20"/>
        </w:rPr>
        <w:t>electronically</w:t>
      </w:r>
      <w:proofErr w:type="spellEnd"/>
    </w:p>
    <w:p w14:paraId="3DB9D8C7" w14:textId="06C208C1" w:rsidR="001933A1" w:rsidRDefault="009B6AF4" w:rsidP="001933A1">
      <w:pPr>
        <w:ind w:left="720" w:right="1"/>
        <w:rPr>
          <w:rFonts w:ascii="Garamond" w:hAnsi="Garamond"/>
          <w:sz w:val="20"/>
          <w:szCs w:val="20"/>
        </w:rPr>
      </w:pPr>
      <w:proofErr w:type="spellStart"/>
      <w:r w:rsidRPr="009B6AF4">
        <w:rPr>
          <w:rFonts w:ascii="Garamond" w:hAnsi="Garamond"/>
          <w:sz w:val="20"/>
          <w:szCs w:val="20"/>
        </w:rPr>
        <w:t>Tenderers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will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submit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electronic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by </w:t>
      </w:r>
      <w:proofErr w:type="spellStart"/>
      <w:r w:rsidRPr="009B6AF4">
        <w:rPr>
          <w:rFonts w:ascii="Garamond" w:hAnsi="Garamond"/>
          <w:sz w:val="20"/>
          <w:szCs w:val="20"/>
        </w:rPr>
        <w:t>filling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form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sz w:val="20"/>
          <w:szCs w:val="20"/>
        </w:rPr>
        <w:t>inserting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scan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price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Josephine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system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website</w:t>
      </w:r>
      <w:proofErr w:type="spellEnd"/>
      <w:r w:rsidRPr="009B6AF4">
        <w:rPr>
          <w:rFonts w:ascii="Garamond" w:hAnsi="Garamond"/>
          <w:sz w:val="20"/>
          <w:szCs w:val="20"/>
        </w:rPr>
        <w:t xml:space="preserve">: </w:t>
      </w:r>
      <w:r w:rsidR="003051F7" w:rsidRPr="003051F7">
        <w:rPr>
          <w:rStyle w:val="Hypertextovprepojenie"/>
          <w:rFonts w:ascii="Garamond" w:hAnsi="Garamond"/>
          <w:sz w:val="20"/>
          <w:szCs w:val="20"/>
        </w:rPr>
        <w:t>https://josephine.proebiz.com/sk/tender/41113/summary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4EE63B23" w:rsidR="001933A1" w:rsidRPr="00A84695" w:rsidRDefault="00B44753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Communication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>:</w:t>
      </w:r>
    </w:p>
    <w:p w14:paraId="20B9B254" w14:textId="06F655C1" w:rsidR="00203D91" w:rsidRPr="00A84695" w:rsidRDefault="00B44753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When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proceed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accordance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§ 20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Act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through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interface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concerns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submissions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between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, resp. </w:t>
      </w:r>
      <w:proofErr w:type="spellStart"/>
      <w:r w:rsidRPr="00B44753">
        <w:rPr>
          <w:rFonts w:ascii="Garamond" w:hAnsi="Garamond"/>
          <w:sz w:val="20"/>
          <w:szCs w:val="20"/>
        </w:rPr>
        <w:t>candidates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applicant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has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opportunity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register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sz w:val="20"/>
          <w:szCs w:val="20"/>
        </w:rPr>
        <w:t>password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identity </w:t>
      </w:r>
      <w:proofErr w:type="spellStart"/>
      <w:r w:rsidRPr="00B44753">
        <w:rPr>
          <w:rFonts w:ascii="Garamond" w:hAnsi="Garamond"/>
          <w:sz w:val="20"/>
          <w:szCs w:val="20"/>
        </w:rPr>
        <w:t>card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electronic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chip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security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personality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code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(</w:t>
      </w:r>
      <w:proofErr w:type="spellStart"/>
      <w:r w:rsidRPr="00B44753">
        <w:rPr>
          <w:rFonts w:ascii="Garamond" w:hAnsi="Garamond"/>
          <w:sz w:val="20"/>
          <w:szCs w:val="20"/>
        </w:rPr>
        <w:t>eID</w:t>
      </w:r>
      <w:proofErr w:type="spellEnd"/>
      <w:r w:rsidRPr="00B44753">
        <w:rPr>
          <w:rFonts w:ascii="Garamond" w:hAnsi="Garamond"/>
          <w:sz w:val="20"/>
          <w:szCs w:val="20"/>
        </w:rPr>
        <w:t xml:space="preserve">). </w:t>
      </w:r>
      <w:proofErr w:type="spellStart"/>
      <w:r w:rsidRPr="00B44753">
        <w:rPr>
          <w:rFonts w:ascii="Garamond" w:hAnsi="Garamond"/>
          <w:sz w:val="20"/>
          <w:szCs w:val="20"/>
        </w:rPr>
        <w:t>Technical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requirements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for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information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registering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using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are </w:t>
      </w:r>
      <w:proofErr w:type="spellStart"/>
      <w:r w:rsidRPr="00B44753">
        <w:rPr>
          <w:rFonts w:ascii="Garamond" w:hAnsi="Garamond"/>
          <w:sz w:val="20"/>
          <w:szCs w:val="20"/>
        </w:rPr>
        <w:t>listed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system's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5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under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references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>".</w:t>
      </w:r>
    </w:p>
    <w:p w14:paraId="2ED0A316" w14:textId="0B465C8B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warns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that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submission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tenders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only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possible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authenticated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authentication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specified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document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/ 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Registration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Manual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"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r w:rsidRPr="00B44753">
        <w:rPr>
          <w:rFonts w:ascii="Garamond" w:hAnsi="Garamond"/>
          <w:sz w:val="20"/>
          <w:szCs w:val="20"/>
        </w:rPr>
        <w:t>"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links</w:t>
      </w:r>
      <w:proofErr w:type="spellEnd"/>
      <w:r w:rsidRPr="00B44753">
        <w:rPr>
          <w:rFonts w:ascii="Garamond" w:hAnsi="Garamond"/>
          <w:sz w:val="20"/>
          <w:szCs w:val="20"/>
        </w:rPr>
        <w:t>"</w:t>
      </w:r>
    </w:p>
    <w:p w14:paraId="2558FA31" w14:textId="77777777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</w:p>
    <w:p w14:paraId="5351582B" w14:textId="27D2AF69" w:rsidR="00523CA6" w:rsidRPr="00A84695" w:rsidRDefault="00B44753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Instructions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drawing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up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="00D779BE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72B05750" w14:textId="5197CDD2" w:rsidR="00D779BE" w:rsidRPr="00A84695" w:rsidRDefault="00B4475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shall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filling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no. 1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invitation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to tender.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section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Identification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" and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subsequently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research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data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needed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to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fill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marked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yellow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72129544" w14:textId="370B945E" w:rsidR="00D01D9E" w:rsidRPr="00A84695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lastRenderedPageBreak/>
        <w:t>All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issued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signed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i. person /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persons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applicant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accordance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with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conduct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business, resp.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tenderer's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representative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case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adequate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written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power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attorney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4DF53F9F" w14:textId="4196E7B9" w:rsidR="00D779BE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in Slovak or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Czech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has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registered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outside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territory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Republic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forming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part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into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(no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official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),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except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Czech</w:t>
      </w:r>
      <w:proofErr w:type="spellEnd"/>
      <w:r w:rsidR="00BF1DAA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17C726F8" w14:textId="77777777" w:rsidR="00287B6C" w:rsidRPr="00A84695" w:rsidRDefault="00287B6C" w:rsidP="00584B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3AD2A956" w:rsidR="0032104A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Completeness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market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research</w:t>
      </w:r>
      <w:proofErr w:type="spellEnd"/>
    </w:p>
    <w:p w14:paraId="5508E6F5" w14:textId="51A77684" w:rsidR="0032104A" w:rsidRDefault="000C6BD3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="00771C51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entire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199C1674" w:rsidR="0032104A" w:rsidRPr="00287B6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Description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/>
          <w:sz w:val="20"/>
          <w:szCs w:val="20"/>
        </w:rPr>
        <w:t>–</w:t>
      </w:r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specification</w:t>
      </w:r>
      <w:proofErr w:type="spellEnd"/>
      <w:r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procurement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delivery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technology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specification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given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no. 1.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sets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that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58C04944" w:rsidR="00BC119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Method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determining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="0082538A"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a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whole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determined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average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EUR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VAT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6026F70E" w:rsidR="001845FF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Special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performance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requirements</w:t>
      </w:r>
      <w:proofErr w:type="spellEnd"/>
      <w:r w:rsidR="001845FF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5E7795F3" w14:textId="77777777" w:rsidR="006C0005" w:rsidRDefault="000C6BD3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transport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</w:p>
    <w:p w14:paraId="0181C9CF" w14:textId="0EF24140" w:rsidR="006C0005" w:rsidRDefault="006C0005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training</w:t>
      </w:r>
      <w:proofErr w:type="spellEnd"/>
    </w:p>
    <w:p w14:paraId="09DD2315" w14:textId="3A5D5E1D" w:rsidR="00287B6C" w:rsidRDefault="006C0005" w:rsidP="00287B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n</w:t>
      </w:r>
      <w:r w:rsidRPr="006C0005">
        <w:rPr>
          <w:rFonts w:ascii="Garamond" w:hAnsi="Garamond"/>
          <w:bCs/>
          <w:color w:val="000000"/>
          <w:sz w:val="20"/>
          <w:szCs w:val="20"/>
        </w:rPr>
        <w:t xml:space="preserve">ew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unused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goods</w:t>
      </w:r>
      <w:proofErr w:type="spellEnd"/>
    </w:p>
    <w:p w14:paraId="1FEA0C24" w14:textId="73E03221" w:rsidR="002B55CB" w:rsidRDefault="002B55CB" w:rsidP="00287B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goods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form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complete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functional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unit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its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parts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are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compatible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their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interaction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with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each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other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order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fulfill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their</w:t>
      </w:r>
      <w:proofErr w:type="spellEnd"/>
      <w:r w:rsidRPr="002B55CB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2B55CB">
        <w:rPr>
          <w:rFonts w:ascii="Garamond" w:hAnsi="Garamond"/>
          <w:bCs/>
          <w:color w:val="000000"/>
          <w:sz w:val="20"/>
          <w:szCs w:val="20"/>
        </w:rPr>
        <w:t>function</w:t>
      </w:r>
      <w:proofErr w:type="spellEnd"/>
    </w:p>
    <w:p w14:paraId="2AF042F2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7F9CEFB" w14:textId="153B2868" w:rsidR="006F06B5" w:rsidRDefault="006C0005" w:rsidP="00BC5BD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6C0005">
        <w:rPr>
          <w:rFonts w:ascii="Garamond" w:hAnsi="Garamond"/>
          <w:bCs/>
          <w:color w:val="000000"/>
          <w:sz w:val="20"/>
          <w:szCs w:val="20"/>
        </w:rPr>
        <w:t xml:space="preserve">Note: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investigation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does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NOT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lead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customer-supplier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relationship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purposes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only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. In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view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not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communicate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results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survey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>.</w:t>
      </w:r>
    </w:p>
    <w:p w14:paraId="1989D767" w14:textId="77777777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213095C" w14:textId="186630E4" w:rsidR="00534902" w:rsidRDefault="00534902" w:rsidP="0053490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Where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requirements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refer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specific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resp.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any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range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identifies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particular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request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consisting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different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solution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providing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result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236E476A" w14:textId="77777777" w:rsidR="00534902" w:rsidRPr="00534902" w:rsidRDefault="00534902" w:rsidP="002B55C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29B9DC1" w14:textId="6F5AF692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fulfillment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purpose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qualitatively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properties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applies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accept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comparable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higher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characteristics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28F87AB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062898CD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6C0005">
        <w:rPr>
          <w:rFonts w:ascii="Garamond" w:hAnsi="Garamond"/>
          <w:bCs/>
          <w:color w:val="000000"/>
          <w:sz w:val="20"/>
          <w:szCs w:val="20"/>
        </w:rPr>
        <w:t>date</w:t>
      </w:r>
      <w:proofErr w:type="spellEnd"/>
      <w:r w:rsidRPr="00A84695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1D0FE9">
        <w:rPr>
          <w:rFonts w:ascii="Garamond" w:hAnsi="Garamond"/>
          <w:bCs/>
          <w:color w:val="000000"/>
          <w:sz w:val="20"/>
          <w:szCs w:val="20"/>
        </w:rPr>
        <w:t>16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8F247B">
        <w:rPr>
          <w:rFonts w:ascii="Garamond" w:hAnsi="Garamond"/>
          <w:bCs/>
          <w:color w:val="000000"/>
          <w:sz w:val="20"/>
          <w:szCs w:val="20"/>
        </w:rPr>
        <w:t>5</w:t>
      </w:r>
      <w:r w:rsidRPr="00A84695">
        <w:rPr>
          <w:rFonts w:ascii="Garamond" w:hAnsi="Garamond"/>
          <w:bCs/>
          <w:color w:val="000000"/>
          <w:sz w:val="20"/>
          <w:szCs w:val="20"/>
        </w:rPr>
        <w:t>.202</w:t>
      </w:r>
      <w:r w:rsidR="001D0FE9">
        <w:rPr>
          <w:rFonts w:ascii="Garamond" w:hAnsi="Garamond"/>
          <w:bCs/>
          <w:color w:val="000000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1DFCC9BA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proofErr w:type="spellStart"/>
      <w:r w:rsidR="006C0005">
        <w:rPr>
          <w:rFonts w:ascii="Garamond" w:hAnsi="Garamond"/>
          <w:b/>
          <w:sz w:val="20"/>
          <w:szCs w:val="20"/>
        </w:rPr>
        <w:t>appnedix</w:t>
      </w:r>
      <w:proofErr w:type="spellEnd"/>
      <w:r w:rsidR="006F06B5" w:rsidRPr="00A84695">
        <w:rPr>
          <w:rFonts w:ascii="Garamond" w:hAnsi="Garamond"/>
          <w:b/>
          <w:sz w:val="20"/>
          <w:szCs w:val="20"/>
        </w:rPr>
        <w:t xml:space="preserve">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440D0"/>
    <w:rsid w:val="0005796B"/>
    <w:rsid w:val="000971BE"/>
    <w:rsid w:val="00097818"/>
    <w:rsid w:val="000A271B"/>
    <w:rsid w:val="000B06F0"/>
    <w:rsid w:val="000C6BD3"/>
    <w:rsid w:val="00111692"/>
    <w:rsid w:val="00131A44"/>
    <w:rsid w:val="00137EF2"/>
    <w:rsid w:val="001741F4"/>
    <w:rsid w:val="001801B2"/>
    <w:rsid w:val="001845FF"/>
    <w:rsid w:val="001933A1"/>
    <w:rsid w:val="001D0FE9"/>
    <w:rsid w:val="001F5075"/>
    <w:rsid w:val="00203D91"/>
    <w:rsid w:val="002063B9"/>
    <w:rsid w:val="00242AF9"/>
    <w:rsid w:val="00244C60"/>
    <w:rsid w:val="00247602"/>
    <w:rsid w:val="00253B8A"/>
    <w:rsid w:val="00263F5B"/>
    <w:rsid w:val="00287B6C"/>
    <w:rsid w:val="002B55CB"/>
    <w:rsid w:val="003051F7"/>
    <w:rsid w:val="0032104A"/>
    <w:rsid w:val="00327335"/>
    <w:rsid w:val="003514A2"/>
    <w:rsid w:val="003A6C51"/>
    <w:rsid w:val="0046393F"/>
    <w:rsid w:val="00482233"/>
    <w:rsid w:val="00490C3D"/>
    <w:rsid w:val="004B30D5"/>
    <w:rsid w:val="00523CA6"/>
    <w:rsid w:val="00534902"/>
    <w:rsid w:val="00545056"/>
    <w:rsid w:val="00553342"/>
    <w:rsid w:val="00584B05"/>
    <w:rsid w:val="005A6835"/>
    <w:rsid w:val="005C0565"/>
    <w:rsid w:val="005C6691"/>
    <w:rsid w:val="005D2CF9"/>
    <w:rsid w:val="005D5430"/>
    <w:rsid w:val="005D579F"/>
    <w:rsid w:val="005D5DFE"/>
    <w:rsid w:val="00612078"/>
    <w:rsid w:val="00621CAA"/>
    <w:rsid w:val="00643478"/>
    <w:rsid w:val="00673930"/>
    <w:rsid w:val="00686D85"/>
    <w:rsid w:val="00686FE2"/>
    <w:rsid w:val="006957F3"/>
    <w:rsid w:val="006B1594"/>
    <w:rsid w:val="006C0005"/>
    <w:rsid w:val="006E5E75"/>
    <w:rsid w:val="006F06B5"/>
    <w:rsid w:val="006F2F67"/>
    <w:rsid w:val="007628DA"/>
    <w:rsid w:val="00771C51"/>
    <w:rsid w:val="00795CC2"/>
    <w:rsid w:val="007C4798"/>
    <w:rsid w:val="007C64C5"/>
    <w:rsid w:val="007F3725"/>
    <w:rsid w:val="00815B1C"/>
    <w:rsid w:val="0082538A"/>
    <w:rsid w:val="008C70BB"/>
    <w:rsid w:val="008D4ED0"/>
    <w:rsid w:val="008F247B"/>
    <w:rsid w:val="00961863"/>
    <w:rsid w:val="0097372A"/>
    <w:rsid w:val="00980EA3"/>
    <w:rsid w:val="009B6AF4"/>
    <w:rsid w:val="009D7618"/>
    <w:rsid w:val="00A84695"/>
    <w:rsid w:val="00A93ED2"/>
    <w:rsid w:val="00AF50B5"/>
    <w:rsid w:val="00B07968"/>
    <w:rsid w:val="00B34B2F"/>
    <w:rsid w:val="00B3651C"/>
    <w:rsid w:val="00B44753"/>
    <w:rsid w:val="00B51C3E"/>
    <w:rsid w:val="00B63445"/>
    <w:rsid w:val="00B65DBC"/>
    <w:rsid w:val="00B877BE"/>
    <w:rsid w:val="00B9524B"/>
    <w:rsid w:val="00BC119C"/>
    <w:rsid w:val="00BE4777"/>
    <w:rsid w:val="00BF1DAA"/>
    <w:rsid w:val="00C14D6A"/>
    <w:rsid w:val="00C15E7B"/>
    <w:rsid w:val="00C23DE0"/>
    <w:rsid w:val="00C36728"/>
    <w:rsid w:val="00CA0640"/>
    <w:rsid w:val="00CB4E7A"/>
    <w:rsid w:val="00CD478E"/>
    <w:rsid w:val="00CE7F77"/>
    <w:rsid w:val="00D01D9E"/>
    <w:rsid w:val="00D05E8B"/>
    <w:rsid w:val="00D10BEA"/>
    <w:rsid w:val="00D17B77"/>
    <w:rsid w:val="00D23C7E"/>
    <w:rsid w:val="00D32029"/>
    <w:rsid w:val="00D4090F"/>
    <w:rsid w:val="00D506E8"/>
    <w:rsid w:val="00D753EF"/>
    <w:rsid w:val="00D779BE"/>
    <w:rsid w:val="00D85E66"/>
    <w:rsid w:val="00D933F1"/>
    <w:rsid w:val="00DE1BB6"/>
    <w:rsid w:val="00DE4E98"/>
    <w:rsid w:val="00E229E6"/>
    <w:rsid w:val="00E30952"/>
    <w:rsid w:val="00E328EA"/>
    <w:rsid w:val="00E4610F"/>
    <w:rsid w:val="00E5326D"/>
    <w:rsid w:val="00E61FE5"/>
    <w:rsid w:val="00EA1FFE"/>
    <w:rsid w:val="00EB301B"/>
    <w:rsid w:val="00EB50E6"/>
    <w:rsid w:val="00EE141E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26</cp:revision>
  <dcterms:created xsi:type="dcterms:W3CDTF">2022-06-17T18:32:00Z</dcterms:created>
  <dcterms:modified xsi:type="dcterms:W3CDTF">2025-05-16T10:37:00Z</dcterms:modified>
</cp:coreProperties>
</file>