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F41CA" w:rsidRPr="00326E3D" w14:paraId="557EC57B" w14:textId="77777777" w:rsidTr="00D04466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8F41CA" w:rsidRPr="00326E3D" w:rsidRDefault="008F41CA" w:rsidP="00093555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037801AD" w:rsidR="008F41CA" w:rsidRPr="00072C78" w:rsidRDefault="008F41CA" w:rsidP="00093555">
            <w:pPr>
              <w:spacing w:after="0" w:line="240" w:lineRule="auto"/>
              <w:rPr>
                <w:i/>
              </w:rPr>
            </w:pPr>
            <w:r>
              <w:t>Ing. Milan Horný</w:t>
            </w:r>
          </w:p>
        </w:tc>
      </w:tr>
      <w:tr w:rsidR="008F41CA" w:rsidRPr="00326E3D" w14:paraId="33983BEC" w14:textId="77777777" w:rsidTr="00D04466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8F41CA" w:rsidRPr="00326E3D" w:rsidRDefault="008F41CA" w:rsidP="00093555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41EBCC73" w:rsidR="008F41CA" w:rsidRPr="00072C78" w:rsidRDefault="008F41CA" w:rsidP="00093555">
            <w:pPr>
              <w:spacing w:after="0" w:line="240" w:lineRule="auto"/>
              <w:rPr>
                <w:i/>
              </w:rPr>
            </w:pPr>
            <w:r>
              <w:t>31838146</w:t>
            </w:r>
            <w:bookmarkStart w:id="0" w:name="_GoBack"/>
            <w:bookmarkEnd w:id="0"/>
          </w:p>
        </w:tc>
      </w:tr>
      <w:tr w:rsidR="008F41CA" w:rsidRPr="00326E3D" w14:paraId="617D816A" w14:textId="77777777" w:rsidTr="00D04466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23FAD64" w14:textId="77777777" w:rsidR="008F41CA" w:rsidRPr="00326E3D" w:rsidRDefault="008F41CA" w:rsidP="00093555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FEBBB4F" w14:textId="77769180" w:rsidR="008F41CA" w:rsidRPr="00072C78" w:rsidRDefault="008F41CA" w:rsidP="00093555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Ťahaný</w:t>
            </w:r>
            <w:r w:rsidRPr="00D95FE4">
              <w:rPr>
                <w:rFonts w:cs="Calibri"/>
              </w:rPr>
              <w:t xml:space="preserve"> postrekovač</w:t>
            </w:r>
          </w:p>
        </w:tc>
      </w:tr>
      <w:tr w:rsidR="0042703A" w:rsidRPr="00326E3D" w14:paraId="2B2D37C9" w14:textId="77777777" w:rsidTr="00D04466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26DAB6CC" w14:textId="77777777" w:rsidR="0042703A" w:rsidRPr="00326E3D" w:rsidRDefault="0042703A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2FA36A2E" w14:textId="4FD34758" w:rsidR="0042703A" w:rsidRPr="0042703A" w:rsidRDefault="0042703A" w:rsidP="003B1F68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2703A">
              <w:rPr>
                <w:rFonts w:eastAsia="Times New Roman" w:cs="Calibri"/>
                <w:bCs/>
                <w:lang w:eastAsia="sk-SK"/>
              </w:rPr>
              <w:t>1</w:t>
            </w:r>
            <w:r w:rsidRPr="0042703A">
              <w:rPr>
                <w:rFonts w:cs="Calibri"/>
              </w:rPr>
              <w:t xml:space="preserve"> </w:t>
            </w:r>
            <w:r w:rsidR="0049344D"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D04466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D04466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D04466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D04466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54113A0E" w:rsidR="00326E3D" w:rsidRPr="00326E3D" w:rsidRDefault="006A20A6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Štatutárny </w:t>
            </w:r>
            <w:r w:rsidR="00326E3D" w:rsidRPr="00326E3D">
              <w:rPr>
                <w:b/>
              </w:rPr>
              <w:t>zástupca uchádzača</w:t>
            </w:r>
            <w:r w:rsidR="00D04466">
              <w:rPr>
                <w:b/>
              </w:rPr>
              <w:t xml:space="preserve"> </w:t>
            </w:r>
            <w:r w:rsidR="00D04466">
              <w:rPr>
                <w:b/>
                <w:sz w:val="20"/>
                <w:szCs w:val="20"/>
              </w:rPr>
              <w:t>(resp. osoba úradne splnomocnená na takýto úkon)</w:t>
            </w:r>
            <w:r w:rsidR="00326E3D" w:rsidRPr="00326E3D">
              <w:rPr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D04466" w:rsidRPr="00326E3D" w14:paraId="1AA2E981" w14:textId="77777777" w:rsidTr="00D04466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181F429" w14:textId="5C8B14CF" w:rsidR="00D04466" w:rsidRDefault="00D04466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Číslo zápisu v Zozname hospodárskych subjektov </w:t>
            </w:r>
            <w:r w:rsidRPr="00D04466">
              <w:t>(ak relevantné):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808609" w14:textId="504FA285" w:rsidR="00D04466" w:rsidRPr="00326E3D" w:rsidRDefault="00D04466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2B8B998B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 xml:space="preserve">ku </w:t>
      </w:r>
      <w:r w:rsidR="00852109">
        <w:rPr>
          <w:color w:val="343636"/>
          <w:w w:val="105"/>
          <w:sz w:val="20"/>
          <w:szCs w:val="20"/>
          <w:lang w:val="sk-SK"/>
        </w:rPr>
        <w:t>dňu vyhlásenia obstarávania: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1A1A9C17" w14:textId="77777777" w:rsidR="00D04466" w:rsidRDefault="00D04466" w:rsidP="00326E3D">
      <w:pPr>
        <w:spacing w:after="0" w:line="360" w:lineRule="auto"/>
        <w:rPr>
          <w:b/>
          <w:sz w:val="28"/>
          <w:szCs w:val="28"/>
        </w:rPr>
      </w:pPr>
    </w:p>
    <w:p w14:paraId="5F6F3DFC" w14:textId="77777777" w:rsid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9E2D4AF" w14:textId="77777777" w:rsidR="00D04466" w:rsidRPr="00326E3D" w:rsidRDefault="00D04466" w:rsidP="00326E3D">
      <w:pPr>
        <w:spacing w:after="0" w:line="360" w:lineRule="auto"/>
        <w:rPr>
          <w:rFonts w:cs="Tahoma"/>
          <w:color w:val="FF0000"/>
        </w:rPr>
      </w:pPr>
    </w:p>
    <w:p w14:paraId="15D57FF8" w14:textId="55030F88" w:rsidR="00326E3D" w:rsidRPr="00326E3D" w:rsidRDefault="00326E3D" w:rsidP="0049344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</w:t>
      </w:r>
      <w:r w:rsidR="003E06A4">
        <w:rPr>
          <w:sz w:val="18"/>
          <w:szCs w:val="18"/>
        </w:rPr>
        <w:t>-----------------------------</w:t>
      </w:r>
      <w:r w:rsidR="0049344D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3E06A4">
        <w:rPr>
          <w:sz w:val="18"/>
          <w:szCs w:val="18"/>
        </w:rPr>
        <w:t>štatutárneho zástupcu</w:t>
      </w:r>
      <w:r w:rsidR="0049344D">
        <w:rPr>
          <w:sz w:val="18"/>
          <w:szCs w:val="18"/>
        </w:rPr>
        <w:t>, pečiatka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D0446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93555"/>
    <w:rsid w:val="001947DE"/>
    <w:rsid w:val="00245B64"/>
    <w:rsid w:val="002A6188"/>
    <w:rsid w:val="00326E3D"/>
    <w:rsid w:val="003E06A4"/>
    <w:rsid w:val="0042703A"/>
    <w:rsid w:val="0049142A"/>
    <w:rsid w:val="0049344D"/>
    <w:rsid w:val="004D0C66"/>
    <w:rsid w:val="006610C0"/>
    <w:rsid w:val="006A20A6"/>
    <w:rsid w:val="00852109"/>
    <w:rsid w:val="00874BB9"/>
    <w:rsid w:val="008D1E02"/>
    <w:rsid w:val="008F41CA"/>
    <w:rsid w:val="00D04466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15</cp:revision>
  <dcterms:created xsi:type="dcterms:W3CDTF">2022-05-19T06:34:00Z</dcterms:created>
  <dcterms:modified xsi:type="dcterms:W3CDTF">2023-07-13T18:50:00Z</dcterms:modified>
</cp:coreProperties>
</file>