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6D42605C"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6B7DE4">
        <w:rPr>
          <w:b/>
          <w:bCs/>
        </w:rPr>
        <w:t>41</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09681DD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6B2642A6"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025274">
        <w:t>dňa</w:t>
      </w:r>
      <w:r w:rsidR="00E91E32" w:rsidRPr="00025274">
        <w:t xml:space="preserve"> </w:t>
      </w:r>
      <w:r w:rsidR="00025274" w:rsidRPr="00025274">
        <w:t>21</w:t>
      </w:r>
      <w:r w:rsidR="006B7DE4" w:rsidRPr="00025274">
        <w:t>.</w:t>
      </w:r>
      <w:r w:rsidR="00025274" w:rsidRPr="00025274">
        <w:t>08</w:t>
      </w:r>
      <w:r w:rsidR="006B7DE4" w:rsidRPr="00025274">
        <w:t>.2023</w:t>
      </w:r>
      <w:r w:rsidR="00816D67">
        <w:t xml:space="preserve"> </w:t>
      </w:r>
      <w:r w:rsidR="0077364D" w:rsidRPr="00831A48">
        <w:t>prostredníctvom systému Josephine</w:t>
      </w:r>
      <w:r w:rsidR="006A6438" w:rsidRPr="00831A48">
        <w:t xml:space="preserve"> ako </w:t>
      </w:r>
      <w:r w:rsidR="006A6438" w:rsidRPr="0044445B">
        <w:t xml:space="preserve">Výzva č. </w:t>
      </w:r>
      <w:r w:rsidR="006B7DE4">
        <w:t>41</w:t>
      </w:r>
      <w:r w:rsidR="0066016D">
        <w:t>,</w:t>
      </w:r>
      <w:r w:rsidR="0066016D" w:rsidRPr="0066016D">
        <w:t xml:space="preserve"> predmetom ktorého bolo </w:t>
      </w:r>
      <w:r w:rsidR="006B7DE4">
        <w:t>„</w:t>
      </w:r>
      <w:r w:rsidR="006B7DE4" w:rsidRPr="006B7DE4">
        <w:t xml:space="preserve">Náhrada zariadenia ASR1002 v PROD </w:t>
      </w:r>
      <w:proofErr w:type="spellStart"/>
      <w:r w:rsidR="006B7DE4" w:rsidRPr="006B7DE4">
        <w:t>eZdravia</w:t>
      </w:r>
      <w:proofErr w:type="spellEnd"/>
      <w:r w:rsidR="006B7DE4">
        <w:t>“</w:t>
      </w:r>
      <w:r w:rsidR="00F27179">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6E6C2AA1" w:rsidR="00A17A5B" w:rsidRPr="006B7DE4" w:rsidRDefault="0066016D" w:rsidP="006B7DE4">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6B7DE4">
        <w:t>hardvérové</w:t>
      </w:r>
      <w:r w:rsidR="006B7DE4" w:rsidRPr="007905F9">
        <w:t xml:space="preserve"> komponent</w:t>
      </w:r>
      <w:r w:rsidR="006B7DE4">
        <w:t xml:space="preserve">y </w:t>
      </w:r>
      <w:r w:rsidR="006B7DE4" w:rsidRPr="002F7D88">
        <w:t>(ďalej v texte tiež ako „</w:t>
      </w:r>
      <w:r w:rsidR="006B7DE4" w:rsidRPr="006B7DE4">
        <w:rPr>
          <w:b/>
          <w:bCs/>
        </w:rPr>
        <w:t>predmet kúpy</w:t>
      </w:r>
      <w:r w:rsidR="006B7DE4" w:rsidRPr="002F7D88">
        <w:t>“ alebo „</w:t>
      </w:r>
      <w:r w:rsidR="006B7DE4" w:rsidRPr="006B7DE4">
        <w:rPr>
          <w:b/>
          <w:bCs/>
        </w:rPr>
        <w:t>tovar</w:t>
      </w:r>
      <w:r w:rsidR="006B7DE4">
        <w:t xml:space="preserve">) </w:t>
      </w:r>
      <w:r w:rsidR="006B7DE4" w:rsidRPr="007905F9">
        <w:t xml:space="preserve">v špecifikácii, počte a rozsahu uvedenom v Prílohe č. </w:t>
      </w:r>
      <w:r w:rsidR="006B7DE4">
        <w:t>2</w:t>
      </w:r>
      <w:r w:rsidR="006B7DE4" w:rsidRPr="007905F9">
        <w:t xml:space="preserve"> vrátane poskytnutia súvisiacich služieb dodania tovaru do miesta dodania, vyloženia tovaru v mieste dodania, odberu a ekologickej likvidácia spotrebného materiálu/obalov, ako aj poskytnutie  súčinnosti pri inštalácii a konfigurácii, inštalácii ovládačov, poskytnutia telefonickej podpory a záruky na mieste</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1167A396"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6B7DE4">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43AF6BCA"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00320AFA">
        <w:t xml:space="preserve"> naraz </w:t>
      </w:r>
      <w:r w:rsidRPr="00C45BB6">
        <w:t xml:space="preserve"> </w:t>
      </w:r>
      <w:r w:rsidR="00682F77">
        <w:t xml:space="preserve">a to </w:t>
      </w:r>
      <w:r w:rsidR="00365891" w:rsidRPr="00970767">
        <w:t xml:space="preserve">najneskôr </w:t>
      </w:r>
      <w:r w:rsidR="00792792" w:rsidRPr="00E54615">
        <w:t xml:space="preserve">do </w:t>
      </w:r>
      <w:r w:rsidR="006B7DE4">
        <w:t>14</w:t>
      </w:r>
      <w:r w:rsidR="00B22B97" w:rsidRPr="00E54615">
        <w:t xml:space="preserve"> </w:t>
      </w:r>
      <w:r w:rsidR="006B7DE4">
        <w:t xml:space="preserve">týždňov </w:t>
      </w:r>
      <w:r w:rsidR="00792792" w:rsidRPr="00E54615">
        <w:t>odo</w:t>
      </w:r>
      <w:r w:rsidR="00792792" w:rsidRPr="00970767">
        <w:t xml:space="preserve">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lastRenderedPageBreak/>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6B7DE4">
      <w:pPr>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19AFFD47"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uhradí Predávajúcemu kúpnu cenu po riadnom dodaní tovaru formou bezhotovostného platobného styku, bez poskytnutia preddavku. Kúpna cena bude Kupujúcim uhradená na základe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12063E8D" w:rsidR="00C8388D" w:rsidRPr="002F7D88" w:rsidRDefault="006B7DE4" w:rsidP="00C8388D">
      <w:pPr>
        <w:pStyle w:val="Odsekzoznamu"/>
        <w:ind w:left="0"/>
        <w:jc w:val="center"/>
        <w:rPr>
          <w:b/>
          <w:color w:val="000000"/>
        </w:rPr>
      </w:pPr>
      <w:r>
        <w:rPr>
          <w:b/>
          <w:color w:val="000000"/>
        </w:rPr>
        <w:t>Záručné</w:t>
      </w:r>
      <w:r w:rsidRPr="002F7D88">
        <w:rPr>
          <w:b/>
          <w:color w:val="000000"/>
        </w:rPr>
        <w:t xml:space="preserve"> podmienky</w:t>
      </w:r>
      <w:r>
        <w:rPr>
          <w:b/>
          <w:color w:val="000000"/>
        </w:rPr>
        <w:t xml:space="preserve"> a</w:t>
      </w:r>
      <w:r w:rsidRPr="002F7D88">
        <w:rPr>
          <w:b/>
          <w:color w:val="000000"/>
        </w:rPr>
        <w:t xml:space="preserve"> zodpovednosť za vady</w:t>
      </w:r>
      <w:r w:rsidR="00C8388D">
        <w:rPr>
          <w:b/>
          <w:color w:val="000000"/>
        </w:rPr>
        <w:t xml:space="preserve"> </w:t>
      </w:r>
    </w:p>
    <w:p w14:paraId="798FCD72" w14:textId="77777777" w:rsidR="00C8388D" w:rsidRPr="002F7D88" w:rsidRDefault="00C8388D" w:rsidP="00C8388D">
      <w:pPr>
        <w:pStyle w:val="Odsekzoznamu"/>
        <w:ind w:left="0"/>
        <w:jc w:val="both"/>
        <w:rPr>
          <w:b/>
          <w:color w:val="000000"/>
        </w:rPr>
      </w:pPr>
    </w:p>
    <w:p w14:paraId="5659FF34" w14:textId="047E5AA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záručná doba je v dĺžke 36 mesiacov</w:t>
      </w:r>
      <w:r w:rsidRPr="002F7D88">
        <w:rPr>
          <w:color w:val="000000"/>
        </w:rPr>
        <w:t xml:space="preserve"> </w:t>
      </w:r>
      <w:r>
        <w:rPr>
          <w:color w:val="000000"/>
        </w:rPr>
        <w:t xml:space="preserve">(resp. v zmysle špecifikácie uvedenej v Prílohe č. 2) a začína plynúť </w:t>
      </w:r>
      <w:r w:rsidRPr="002F7D88">
        <w:rPr>
          <w:color w:val="000000"/>
        </w:rPr>
        <w:t xml:space="preserve">odo dňa </w:t>
      </w:r>
      <w:r w:rsidRPr="00E051AF">
        <w:rPr>
          <w:bCs/>
          <w:iCs/>
        </w:rPr>
        <w:t xml:space="preserve">podpísania </w:t>
      </w:r>
      <w:r w:rsidRPr="002F7D88">
        <w:t>protokolu o odovzdaní a prevzatí predmetu kúpy (preberací protokol/dodací list)</w:t>
      </w:r>
      <w:r w:rsidRPr="002F7D88">
        <w:rPr>
          <w:color w:val="000000"/>
        </w:rPr>
        <w:t>.</w:t>
      </w:r>
    </w:p>
    <w:p w14:paraId="55A04CC0" w14:textId="77777777" w:rsidR="006B7DE4" w:rsidRDefault="006B7DE4" w:rsidP="006B7DE4">
      <w:pPr>
        <w:pStyle w:val="Odsekzoznamu"/>
        <w:ind w:left="426"/>
        <w:jc w:val="both"/>
        <w:rPr>
          <w:color w:val="000000"/>
        </w:rPr>
      </w:pPr>
    </w:p>
    <w:p w14:paraId="01AD39F2"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Pr>
          <w:color w:val="000000"/>
        </w:rPr>
        <w:t xml:space="preserve"> uvedenom v Prílohe č. 2</w:t>
      </w:r>
      <w:r w:rsidRPr="002F7D88">
        <w:rPr>
          <w:color w:val="000000"/>
        </w:rPr>
        <w:t xml:space="preserve">. </w:t>
      </w:r>
      <w:r w:rsidRPr="008B3E4C">
        <w:t>Oprava musí byť vykonaná výrobcom alebo autorizovaným servisným partnerom pre územie Slovenskej republiky priamo v mieste inštalácie.</w:t>
      </w:r>
    </w:p>
    <w:p w14:paraId="6D94A45F" w14:textId="77777777" w:rsidR="006B7DE4" w:rsidRPr="006C7A11" w:rsidRDefault="006B7DE4" w:rsidP="006B7DE4">
      <w:pPr>
        <w:jc w:val="both"/>
        <w:rPr>
          <w:color w:val="000000"/>
        </w:rPr>
      </w:pPr>
    </w:p>
    <w:p w14:paraId="7A72B7D6" w14:textId="77777777" w:rsidR="006B7DE4" w:rsidRPr="006B122B" w:rsidRDefault="006B7DE4" w:rsidP="006B7DE4">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1E039018" w14:textId="77777777" w:rsidR="006B7DE4" w:rsidRDefault="006B7DE4" w:rsidP="006B7DE4">
      <w:pPr>
        <w:pStyle w:val="Odsekzoznamu"/>
        <w:ind w:left="426"/>
        <w:jc w:val="both"/>
        <w:rPr>
          <w:color w:val="000000"/>
        </w:rPr>
      </w:pPr>
    </w:p>
    <w:p w14:paraId="09BBAC3C" w14:textId="77777777" w:rsidR="006B7DE4" w:rsidRPr="006C7A11"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7FCB2028" w14:textId="77777777" w:rsidR="006B7DE4" w:rsidRPr="002F7D88" w:rsidRDefault="006B7DE4" w:rsidP="006B7DE4">
      <w:pPr>
        <w:pStyle w:val="Odsekzoznamu"/>
        <w:ind w:left="709"/>
        <w:jc w:val="both"/>
        <w:rPr>
          <w:color w:val="000000"/>
        </w:rPr>
      </w:pPr>
    </w:p>
    <w:p w14:paraId="2E9D9EBC"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6FDF640B" w14:textId="77777777" w:rsidR="006B7DE4" w:rsidRPr="006C7A11" w:rsidRDefault="006B7DE4" w:rsidP="006B7DE4">
      <w:pPr>
        <w:pStyle w:val="Odsekzoznamu"/>
        <w:rPr>
          <w:color w:val="000000"/>
        </w:rPr>
      </w:pPr>
    </w:p>
    <w:p w14:paraId="680DDA5A"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767E9F29" w14:textId="77777777" w:rsidR="006B7DE4" w:rsidRDefault="006B7DE4" w:rsidP="006B7DE4">
      <w:pPr>
        <w:pStyle w:val="Odsekzoznamu"/>
        <w:ind w:left="426"/>
        <w:jc w:val="both"/>
        <w:rPr>
          <w:bCs/>
          <w:iCs/>
          <w:color w:val="000000"/>
        </w:rPr>
      </w:pPr>
    </w:p>
    <w:p w14:paraId="72ACDA62"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6C42D06B" w14:textId="77777777" w:rsidR="006B7DE4" w:rsidRDefault="006B7DE4" w:rsidP="006B7DE4">
      <w:pPr>
        <w:pStyle w:val="Odsekzoznamu"/>
        <w:ind w:left="426"/>
        <w:jc w:val="both"/>
        <w:rPr>
          <w:bCs/>
          <w:iCs/>
          <w:color w:val="000000"/>
        </w:rPr>
      </w:pPr>
    </w:p>
    <w:p w14:paraId="5A428B96"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5F1D6ED" w14:textId="77777777" w:rsidR="006B7DE4" w:rsidRPr="006B122B" w:rsidRDefault="006B7DE4" w:rsidP="006B7DE4">
      <w:pPr>
        <w:pStyle w:val="Odsekzoznamu"/>
        <w:ind w:left="426"/>
        <w:jc w:val="both"/>
        <w:rPr>
          <w:color w:val="000000"/>
        </w:rPr>
      </w:pPr>
    </w:p>
    <w:p w14:paraId="69CF2F57" w14:textId="5CDA15B6" w:rsidR="006B7DE4" w:rsidRPr="002F7D88" w:rsidRDefault="006B7DE4" w:rsidP="006B7DE4">
      <w:pPr>
        <w:pStyle w:val="Odsekzoznamu"/>
        <w:numPr>
          <w:ilvl w:val="0"/>
          <w:numId w:val="20"/>
        </w:numPr>
        <w:tabs>
          <w:tab w:val="clear" w:pos="720"/>
          <w:tab w:val="num" w:pos="426"/>
        </w:tabs>
        <w:ind w:left="426" w:hanging="426"/>
        <w:jc w:val="both"/>
        <w:rPr>
          <w:color w:val="000000"/>
        </w:rPr>
      </w:pPr>
      <w:r w:rsidRPr="006B122B">
        <w:rPr>
          <w:bCs/>
          <w:iCs/>
          <w:color w:val="000000"/>
        </w:rPr>
        <w:t xml:space="preserve">Do </w:t>
      </w:r>
      <w:r w:rsidR="00E20BB5">
        <w:rPr>
          <w:bCs/>
          <w:iCs/>
          <w:color w:val="000000"/>
        </w:rPr>
        <w:t>c</w:t>
      </w:r>
      <w:r w:rsidRPr="006B122B">
        <w:rPr>
          <w:bCs/>
          <w:iCs/>
          <w:color w:val="000000"/>
        </w:rPr>
        <w:t xml:space="preserve">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1A12984C" w14:textId="04A8AF4E" w:rsidR="00C8388D" w:rsidRPr="006B7DE4" w:rsidRDefault="00C8388D" w:rsidP="006B7DE4">
      <w:pPr>
        <w:jc w:val="both"/>
        <w:rPr>
          <w:color w:val="000000"/>
        </w:rPr>
      </w:pPr>
      <w:r w:rsidRPr="006B7DE4">
        <w:rPr>
          <w:color w:val="000000"/>
        </w:rPr>
        <w:t xml:space="preserve">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w:t>
      </w:r>
      <w:r w:rsidRPr="002F7D88">
        <w:rPr>
          <w:color w:val="000000"/>
        </w:rPr>
        <w:lastRenderedPageBreak/>
        <w:t xml:space="preserve">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lastRenderedPageBreak/>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7A749CB7" w:rsidR="00A17A5B" w:rsidRPr="002F7D88" w:rsidRDefault="00A17A5B" w:rsidP="00A17A5B">
      <w:pPr>
        <w:pStyle w:val="Odsekzoznamu"/>
        <w:numPr>
          <w:ilvl w:val="0"/>
          <w:numId w:val="22"/>
        </w:numPr>
        <w:tabs>
          <w:tab w:val="num" w:pos="426"/>
        </w:tabs>
        <w:ind w:left="426" w:hanging="426"/>
        <w:jc w:val="both"/>
      </w:pPr>
      <w:r w:rsidRPr="002F7D88">
        <w:t>Zmluva sa vyhotovuje v</w:t>
      </w:r>
      <w:r w:rsidR="00FD07E0">
        <w:t xml:space="preserve"> troch </w:t>
      </w:r>
      <w:r w:rsidR="00D776F8">
        <w:t xml:space="preserve"> </w:t>
      </w:r>
      <w:r w:rsidRPr="002F7D88">
        <w:t xml:space="preserve">rovnopisoch, pričom </w:t>
      </w:r>
      <w:r w:rsidR="00FD07E0">
        <w:t xml:space="preserve">predávajúci </w:t>
      </w:r>
      <w:r w:rsidRPr="002F7D88">
        <w:t xml:space="preserve">obdrží </w:t>
      </w:r>
      <w:r w:rsidR="00D776F8">
        <w:t xml:space="preserve">jeden </w:t>
      </w:r>
      <w:r w:rsidRPr="002F7D88">
        <w:t>rovnopis</w:t>
      </w:r>
      <w:r w:rsidR="00FD07E0">
        <w:t xml:space="preserve"> a kupujúci dva rovnopisy</w:t>
      </w:r>
      <w:r w:rsidRPr="002F7D88">
        <w:t>.</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lastRenderedPageBreak/>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5D7D56A"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7E687BF3"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57A3" w14:textId="77777777" w:rsidR="00260654" w:rsidRDefault="00260654" w:rsidP="00263912">
      <w:r>
        <w:separator/>
      </w:r>
    </w:p>
  </w:endnote>
  <w:endnote w:type="continuationSeparator" w:id="0">
    <w:p w14:paraId="2EC94C43" w14:textId="77777777" w:rsidR="00260654" w:rsidRDefault="00260654"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0BF96FD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FD07E0">
          <w:rPr>
            <w:noProof/>
            <w:sz w:val="22"/>
            <w:szCs w:val="22"/>
          </w:rPr>
          <w:t>8</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7A2E" w14:textId="77777777" w:rsidR="00260654" w:rsidRDefault="00260654" w:rsidP="00263912">
      <w:r>
        <w:separator/>
      </w:r>
    </w:p>
  </w:footnote>
  <w:footnote w:type="continuationSeparator" w:id="0">
    <w:p w14:paraId="316233F8" w14:textId="77777777" w:rsidR="00260654" w:rsidRDefault="00260654"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80733639">
    <w:abstractNumId w:val="17"/>
  </w:num>
  <w:num w:numId="2" w16cid:durableId="1025715104">
    <w:abstractNumId w:val="22"/>
  </w:num>
  <w:num w:numId="3" w16cid:durableId="10764669">
    <w:abstractNumId w:val="4"/>
  </w:num>
  <w:num w:numId="4" w16cid:durableId="85542977">
    <w:abstractNumId w:val="24"/>
  </w:num>
  <w:num w:numId="5" w16cid:durableId="2004039165">
    <w:abstractNumId w:val="20"/>
  </w:num>
  <w:num w:numId="6" w16cid:durableId="730159506">
    <w:abstractNumId w:val="23"/>
  </w:num>
  <w:num w:numId="7" w16cid:durableId="500582598">
    <w:abstractNumId w:val="16"/>
  </w:num>
  <w:num w:numId="8" w16cid:durableId="2097053228">
    <w:abstractNumId w:val="3"/>
  </w:num>
  <w:num w:numId="9" w16cid:durableId="1526673396">
    <w:abstractNumId w:val="19"/>
  </w:num>
  <w:num w:numId="10" w16cid:durableId="2029603099">
    <w:abstractNumId w:val="5"/>
  </w:num>
  <w:num w:numId="11" w16cid:durableId="1923367172">
    <w:abstractNumId w:val="14"/>
  </w:num>
  <w:num w:numId="12" w16cid:durableId="472602086">
    <w:abstractNumId w:val="7"/>
  </w:num>
  <w:num w:numId="13" w16cid:durableId="1697197737">
    <w:abstractNumId w:val="1"/>
  </w:num>
  <w:num w:numId="14" w16cid:durableId="332220382">
    <w:abstractNumId w:val="2"/>
  </w:num>
  <w:num w:numId="15" w16cid:durableId="1952278974">
    <w:abstractNumId w:val="10"/>
  </w:num>
  <w:num w:numId="16" w16cid:durableId="494540000">
    <w:abstractNumId w:val="12"/>
  </w:num>
  <w:num w:numId="17" w16cid:durableId="1761025567">
    <w:abstractNumId w:val="15"/>
  </w:num>
  <w:num w:numId="18" w16cid:durableId="617570546">
    <w:abstractNumId w:val="18"/>
  </w:num>
  <w:num w:numId="19" w16cid:durableId="637759444">
    <w:abstractNumId w:val="13"/>
  </w:num>
  <w:num w:numId="20" w16cid:durableId="1723404149">
    <w:abstractNumId w:val="0"/>
  </w:num>
  <w:num w:numId="21" w16cid:durableId="1454132260">
    <w:abstractNumId w:val="21"/>
  </w:num>
  <w:num w:numId="22" w16cid:durableId="1923752949">
    <w:abstractNumId w:val="8"/>
  </w:num>
  <w:num w:numId="23" w16cid:durableId="79134632">
    <w:abstractNumId w:val="6"/>
  </w:num>
  <w:num w:numId="24" w16cid:durableId="1156414977">
    <w:abstractNumId w:val="9"/>
  </w:num>
  <w:num w:numId="25" w16cid:durableId="1826511346">
    <w:abstractNumId w:val="11"/>
  </w:num>
  <w:num w:numId="26" w16cid:durableId="153108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25274"/>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0654"/>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0AFA"/>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6ED2"/>
    <w:rsid w:val="0046259B"/>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B7DE4"/>
    <w:rsid w:val="006C0DB4"/>
    <w:rsid w:val="006C2B38"/>
    <w:rsid w:val="006C66A6"/>
    <w:rsid w:val="006C7A11"/>
    <w:rsid w:val="006D74C2"/>
    <w:rsid w:val="007161D6"/>
    <w:rsid w:val="00726187"/>
    <w:rsid w:val="00727FC2"/>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0446"/>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903"/>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3049"/>
    <w:rsid w:val="00A94E85"/>
    <w:rsid w:val="00AA00C6"/>
    <w:rsid w:val="00AA065C"/>
    <w:rsid w:val="00AA2F57"/>
    <w:rsid w:val="00AB2D46"/>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0BB5"/>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41B5"/>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58DE"/>
    <w:rsid w:val="00F5729D"/>
    <w:rsid w:val="00F60A93"/>
    <w:rsid w:val="00F6188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07E0"/>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D5AC-5A69-4128-AEB6-3B2CB52F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2377</Words>
  <Characters>14239</Characters>
  <Application>Microsoft Office Word</Application>
  <DocSecurity>0</DocSecurity>
  <Lines>418</Lines>
  <Paragraphs>151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2023-08-21T10:49:00Z</dcterms:modified>
  <cp:category/>
</cp:coreProperties>
</file>