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3F5D26E" w:rsidR="00983B59" w:rsidRPr="00734BE8" w:rsidRDefault="00983B59" w:rsidP="00144642">
      <w:pPr>
        <w:rPr>
          <w:rFonts w:ascii="Arial Narrow" w:hAnsi="Arial Narrow"/>
          <w:b/>
          <w:sz w:val="22"/>
          <w:szCs w:val="22"/>
        </w:rPr>
      </w:pPr>
      <w:r w:rsidRPr="00734BE8">
        <w:rPr>
          <w:rFonts w:ascii="Arial Narrow" w:eastAsia="Arial" w:hAnsi="Arial Narrow" w:cstheme="majorHAnsi"/>
          <w:b/>
          <w:color w:val="000000" w:themeColor="text1"/>
          <w:sz w:val="22"/>
          <w:szCs w:val="22"/>
        </w:rPr>
        <w:t xml:space="preserve"> „</w:t>
      </w:r>
      <w:r w:rsidR="00734BE8" w:rsidRPr="00734BE8">
        <w:rPr>
          <w:rFonts w:ascii="Arial Narrow" w:eastAsia="Arial" w:hAnsi="Arial Narrow" w:cstheme="majorHAnsi"/>
          <w:b/>
          <w:color w:val="000000" w:themeColor="text1"/>
          <w:sz w:val="22"/>
          <w:szCs w:val="22"/>
        </w:rPr>
        <w:t>Odpady 04/2023 Centrum podpory Banská Bystrica, k.ú. Dolné Plachtince, lokalita Tabla (skládka č.1) a  k.ú. Želovce, lokalita Tŕstie (skládka č.2), okres Veľký Krtíš</w:t>
      </w:r>
      <w:r w:rsidR="005D3A42" w:rsidRPr="00734BE8">
        <w:rPr>
          <w:rFonts w:ascii="Arial Narrow" w:hAnsi="Arial Narrow"/>
          <w:b/>
          <w:sz w:val="22"/>
          <w:szCs w:val="22"/>
        </w:rPr>
        <w:t xml:space="preserve"> </w:t>
      </w:r>
      <w:r w:rsidR="005D3A42" w:rsidRPr="00734BE8">
        <w:rPr>
          <w:rFonts w:ascii="Arial Narrow" w:hAnsi="Arial Narrow" w:cs="Helvetica"/>
          <w:b/>
          <w:sz w:val="22"/>
          <w:szCs w:val="22"/>
          <w:shd w:val="clear" w:color="auto" w:fill="FFFFFF"/>
        </w:rPr>
        <w:t xml:space="preserve">(ID zákazky </w:t>
      </w:r>
      <w:r w:rsidR="00734BE8">
        <w:rPr>
          <w:rFonts w:ascii="Arial Narrow" w:hAnsi="Arial Narrow"/>
          <w:b/>
          <w:color w:val="000000" w:themeColor="text1"/>
          <w:sz w:val="22"/>
          <w:szCs w:val="22"/>
        </w:rPr>
        <w:t>44828</w:t>
      </w:r>
      <w:r w:rsidR="005D3A42" w:rsidRPr="00734BE8">
        <w:rPr>
          <w:rFonts w:ascii="Arial Narrow" w:hAnsi="Arial Narrow" w:cs="Helvetica"/>
          <w:b/>
          <w:sz w:val="22"/>
          <w:szCs w:val="22"/>
          <w:shd w:val="clear" w:color="auto" w:fill="FFFFFF"/>
        </w:rPr>
        <w:t>)</w:t>
      </w:r>
      <w:r w:rsidRPr="00734BE8">
        <w:rPr>
          <w:rFonts w:ascii="Arial Narrow" w:eastAsia="Arial" w:hAnsi="Arial Narrow" w:cstheme="majorHAnsi"/>
          <w:b/>
          <w:color w:val="000000" w:themeColor="text1"/>
          <w:sz w:val="22"/>
          <w:szCs w:val="22"/>
        </w:rPr>
        <w:t>“</w:t>
      </w:r>
      <w:r w:rsidR="00AF2C59">
        <w:rPr>
          <w:rFonts w:ascii="Arial Narrow" w:eastAsia="Arial" w:hAnsi="Arial Narrow" w:cstheme="majorHAnsi"/>
          <w:b/>
          <w:color w:val="000000" w:themeColor="text1"/>
          <w:sz w:val="22"/>
          <w:szCs w:val="22"/>
        </w:rPr>
        <w:t>.</w:t>
      </w:r>
    </w:p>
    <w:p w14:paraId="3D7260E2" w14:textId="77777777" w:rsidR="00F552BC" w:rsidRPr="00734BE8" w:rsidRDefault="00F552BC" w:rsidP="00983B59">
      <w:pPr>
        <w:pStyle w:val="Default"/>
        <w:rPr>
          <w:rFonts w:ascii="Arial Narrow" w:hAnsi="Arial Narrow" w:cstheme="majorHAnsi"/>
          <w:b/>
          <w:bCs/>
          <w:color w:val="auto"/>
          <w:sz w:val="22"/>
          <w:szCs w:val="22"/>
        </w:rPr>
      </w:pPr>
    </w:p>
    <w:p w14:paraId="5879E77C" w14:textId="0ECFF7B8" w:rsidR="00F552BC" w:rsidRPr="00734BE8"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407D4B2E"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5A32B9">
        <w:rPr>
          <w:rFonts w:ascii="Arial Narrow" w:hAnsi="Arial Narrow"/>
          <w:color w:val="000000" w:themeColor="text1"/>
          <w:sz w:val="22"/>
        </w:rPr>
        <w:t>9</w:t>
      </w:r>
      <w:r w:rsidR="00054236" w:rsidRPr="009811E1">
        <w:rPr>
          <w:rFonts w:ascii="Arial Narrow" w:hAnsi="Arial Narrow"/>
          <w:color w:val="000000" w:themeColor="text1"/>
          <w:sz w:val="22"/>
        </w:rPr>
        <w:t xml:space="preserve">. </w:t>
      </w:r>
      <w:r w:rsidR="00125C59">
        <w:rPr>
          <w:rFonts w:ascii="Arial Narrow" w:hAnsi="Arial Narrow"/>
          <w:color w:val="000000" w:themeColor="text1"/>
          <w:sz w:val="22"/>
        </w:rPr>
        <w:t>august</w:t>
      </w:r>
      <w:r w:rsidR="00983B59" w:rsidRPr="009811E1">
        <w:rPr>
          <w:rFonts w:ascii="Arial Narrow" w:hAnsi="Arial Narrow"/>
          <w:color w:val="000000" w:themeColor="text1"/>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Mgr. Eva Barbeníková</w:t>
      </w:r>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r w:rsidR="000857CA">
        <w:rPr>
          <w:rFonts w:ascii="Arial Narrow" w:hAnsi="Arial Narrow"/>
          <w:sz w:val="22"/>
          <w:szCs w:val="22"/>
        </w:rPr>
        <w:t>eva.barbenik</w:t>
      </w:r>
      <w:r w:rsidR="00983B59" w:rsidRPr="00983B59">
        <w:rPr>
          <w:rFonts w:ascii="Arial Narrow" w:hAnsi="Arial Narrow"/>
          <w:sz w:val="22"/>
          <w:szCs w:val="22"/>
        </w:rPr>
        <w:t>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837E6AD"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734BE8">
        <w:rPr>
          <w:rFonts w:ascii="Arial Narrow" w:hAnsi="Arial Narrow"/>
          <w:color w:val="000000" w:themeColor="text1"/>
          <w:sz w:val="22"/>
          <w:szCs w:val="22"/>
        </w:rPr>
        <w:t>44828</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3399343E" w14:textId="06B9E4EA" w:rsidR="00734BE8" w:rsidRPr="00734BE8"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734BE8" w:rsidRPr="00295BF1">
          <w:rPr>
            <w:rStyle w:val="Hypertextovprepojenie"/>
            <w:rFonts w:ascii="Arial Narrow" w:hAnsi="Arial Narrow" w:cs="Times New Roman"/>
            <w:sz w:val="22"/>
            <w:szCs w:val="22"/>
          </w:rPr>
          <w:t>https://josephine.proebiz.com/sk/tender/44828/summary</w:t>
        </w:r>
      </w:hyperlink>
      <w:r w:rsidR="00734BE8">
        <w:rPr>
          <w:rFonts w:ascii="Arial Narrow" w:hAnsi="Arial Narrow" w:cs="Times New Roman"/>
          <w:color w:val="FF0000"/>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FC38E47"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734BE8" w:rsidRPr="00734BE8">
        <w:rPr>
          <w:rFonts w:ascii="Arial Narrow" w:hAnsi="Arial Narrow"/>
          <w:b/>
          <w:sz w:val="22"/>
          <w:szCs w:val="24"/>
        </w:rPr>
        <w:t>3 690,00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48D91E1D" w:rsidR="009C6825" w:rsidRPr="00D446CA"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61CC9169"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DC0A373" w:rsidR="006D7653" w:rsidRPr="00002D53" w:rsidRDefault="0026020A"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6EB8B8D3" w:rsidR="00C76C31" w:rsidRPr="00002D53" w:rsidRDefault="0026020A"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3F976313" w:rsidR="00630FD2" w:rsidRPr="00002D53" w:rsidRDefault="0026020A"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5CC27AFC" w:rsidR="00C76C31" w:rsidRDefault="0026020A"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bookmarkStart w:id="23" w:name="_GoBack"/>
      <w:bookmarkEnd w:id="23"/>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DA751" w14:textId="77777777" w:rsidR="00F66277" w:rsidRDefault="00F66277">
      <w:r>
        <w:separator/>
      </w:r>
    </w:p>
  </w:endnote>
  <w:endnote w:type="continuationSeparator" w:id="0">
    <w:p w14:paraId="20317940" w14:textId="77777777" w:rsidR="00F66277" w:rsidRDefault="00F6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6020A" w:rsidRPr="0026020A">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16858" w14:textId="77777777" w:rsidR="00F66277" w:rsidRDefault="00F66277">
      <w:r>
        <w:separator/>
      </w:r>
    </w:p>
  </w:footnote>
  <w:footnote w:type="continuationSeparator" w:id="0">
    <w:p w14:paraId="1425C5E3" w14:textId="77777777" w:rsidR="00F66277" w:rsidRDefault="00F6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5881"/>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020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2B9"/>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4BE8"/>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6C92"/>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C7C4C"/>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2C5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277"/>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82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B7A40-B9B1-4475-B774-0761252F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3</TotalTime>
  <Pages>8</Pages>
  <Words>3059</Words>
  <Characters>17442</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20461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5</cp:revision>
  <cp:lastPrinted>2021-01-20T13:59:00Z</cp:lastPrinted>
  <dcterms:created xsi:type="dcterms:W3CDTF">2023-08-09T07:06:00Z</dcterms:created>
  <dcterms:modified xsi:type="dcterms:W3CDTF">2023-08-10T08:10:00Z</dcterms:modified>
</cp:coreProperties>
</file>