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15767A22"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283C5C" w:rsidRPr="00283C5C">
        <w:rPr>
          <w:b/>
          <w:sz w:val="24"/>
          <w:szCs w:val="24"/>
        </w:rPr>
        <w:t>Most ev. č. 2601-4 a most ev. č. 2601-5 v Zahrádkách u České Lípy</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0F7D9455"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3F78F3" w:rsidRPr="003F78F3">
        <w:rPr>
          <w:b/>
          <w:sz w:val="24"/>
          <w:szCs w:val="24"/>
        </w:rPr>
        <w:t>Most ev. č. 2601-4 a most ev. č. 2601-5 v Zahrádkách u České Lípy</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62D2F342"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203348" w:rsidRPr="00203348">
        <w:rPr>
          <w:sz w:val="24"/>
          <w:szCs w:val="24"/>
        </w:rPr>
        <w:t>Most ev. č. 2601-4 a most ev. č. 2601-5 v Zahrádkách u České Lípy</w:t>
      </w:r>
    </w:p>
    <w:p w14:paraId="188A003F" w14:textId="16EE0FB9"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203348" w:rsidRPr="00203348">
        <w:rPr>
          <w:sz w:val="24"/>
          <w:szCs w:val="24"/>
        </w:rPr>
        <w:t>Most ev. č. 2601-4 a most ev. č. 2601-5 v Zahrádkách u České Lípy</w:t>
      </w:r>
      <w:r w:rsidR="00DA53BC">
        <w:rPr>
          <w:sz w:val="24"/>
          <w:szCs w:val="24"/>
        </w:rPr>
        <w:t xml:space="preserve">, </w:t>
      </w:r>
      <w:proofErr w:type="gramStart"/>
      <w:r w:rsidR="0018170C" w:rsidRPr="00793E4E">
        <w:rPr>
          <w:sz w:val="24"/>
          <w:szCs w:val="24"/>
        </w:rPr>
        <w:t xml:space="preserve">okres </w:t>
      </w:r>
      <w:r w:rsidR="00203348">
        <w:rPr>
          <w:sz w:val="24"/>
          <w:szCs w:val="24"/>
        </w:rPr>
        <w:t xml:space="preserve"> Česká</w:t>
      </w:r>
      <w:proofErr w:type="gramEnd"/>
      <w:r w:rsidR="00203348">
        <w:rPr>
          <w:sz w:val="24"/>
          <w:szCs w:val="24"/>
        </w:rPr>
        <w:t xml:space="preserve"> Lípa</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5F50294A"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1B079F">
        <w:rPr>
          <w:b/>
          <w:sz w:val="24"/>
        </w:rPr>
        <w:t xml:space="preserve">pro společné </w:t>
      </w:r>
      <w:r w:rsidR="00926AEC" w:rsidRPr="00926AEC">
        <w:rPr>
          <w:b/>
          <w:sz w:val="24"/>
        </w:rPr>
        <w:t xml:space="preserve">povolení v podrobnosti </w:t>
      </w:r>
      <w:r w:rsidR="00926AEC" w:rsidRPr="00926AEC">
        <w:rPr>
          <w:b/>
          <w:sz w:val="24"/>
        </w:rPr>
        <w:lastRenderedPageBreak/>
        <w:t>dokumentace pro provádění stavby (D</w:t>
      </w:r>
      <w:r w:rsidR="008E6F10">
        <w:rPr>
          <w:b/>
          <w:sz w:val="24"/>
        </w:rPr>
        <w:t>U</w:t>
      </w:r>
      <w:r w:rsidR="00926AEC" w:rsidRPr="00926AEC">
        <w:rPr>
          <w:b/>
          <w:sz w:val="24"/>
        </w:rPr>
        <w:t>SP/PDPS)</w:t>
      </w:r>
      <w:r w:rsidRPr="00682677">
        <w:rPr>
          <w:b/>
          <w:sz w:val="24"/>
        </w:rPr>
        <w:t xml:space="preserve">, </w:t>
      </w:r>
      <w:r w:rsidR="00B13B1D" w:rsidRPr="00682677">
        <w:rPr>
          <w:sz w:val="24"/>
        </w:rPr>
        <w:t xml:space="preserve">a to v rozsahu uvedeném v Příloze č. 2 této smlouvy, odst. </w:t>
      </w:r>
      <w:r w:rsidR="001B079F">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5DDFC61"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203348">
        <w:rPr>
          <w:b/>
        </w:rPr>
        <w:t>9</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AAC4FA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203348">
        <w:rPr>
          <w:b/>
          <w:color w:val="000000"/>
        </w:rPr>
        <w:t>210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0F798BE6"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203348">
        <w:rPr>
          <w:b/>
        </w:rPr>
        <w:t>240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12328B7F"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203348" w:rsidRPr="00CD7E37">
          <w:rPr>
            <w:rStyle w:val="Hypertextovodkaz"/>
            <w:szCs w:val="24"/>
            <w:lang w:val="cs-CZ"/>
          </w:rPr>
          <w:t>jan.capek@ksslk.cz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04E05F36" w:rsidR="003B7FC8" w:rsidRPr="001F40A9" w:rsidRDefault="0020334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xml:space="preserve">, specialista na přípravu projektů KSSLK, tel: </w:t>
      </w:r>
      <w:r>
        <w:rPr>
          <w:color w:val="000000"/>
          <w:sz w:val="24"/>
          <w:szCs w:val="24"/>
        </w:rPr>
        <w:t xml:space="preserve">774 388 </w:t>
      </w:r>
      <w:proofErr w:type="gramStart"/>
      <w:r>
        <w:rPr>
          <w:color w:val="000000"/>
          <w:sz w:val="24"/>
          <w:szCs w:val="24"/>
        </w:rPr>
        <w:t>252</w:t>
      </w:r>
      <w:r w:rsidR="003B7FC8" w:rsidRPr="001F40A9">
        <w:rPr>
          <w:color w:val="000000"/>
          <w:sz w:val="24"/>
          <w:szCs w:val="24"/>
        </w:rPr>
        <w:t xml:space="preserve">, </w:t>
      </w:r>
      <w:r w:rsidR="00D42E46"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Pr="00CD7E37">
          <w:rPr>
            <w:rStyle w:val="Hypertextovodkaz"/>
            <w:sz w:val="24"/>
            <w:szCs w:val="24"/>
          </w:rPr>
          <w:t>jan.capek@ksslk.cz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1F2ED491" w:rsidR="00B10F4E" w:rsidRPr="00E03DB6" w:rsidRDefault="00B10F4E" w:rsidP="00B10F4E">
      <w:pPr>
        <w:tabs>
          <w:tab w:val="left" w:pos="6096"/>
        </w:tabs>
        <w:spacing w:before="120" w:after="0"/>
        <w:rPr>
          <w:rStyle w:val="Odkaznakoment"/>
          <w:color w:val="000000"/>
          <w:sz w:val="24"/>
          <w:szCs w:val="24"/>
        </w:rPr>
      </w:pPr>
      <w:r w:rsidRPr="00D057D7">
        <w:rPr>
          <w:rStyle w:val="Odkaznakoment"/>
          <w:color w:val="000000"/>
          <w:sz w:val="24"/>
          <w:szCs w:val="24"/>
          <w:highlight w:val="cyan"/>
        </w:rPr>
        <w:t>(Příloh</w:t>
      </w:r>
      <w:r w:rsidRPr="00D057D7">
        <w:rPr>
          <w:rStyle w:val="Odkaznakoment"/>
          <w:color w:val="000000"/>
          <w:sz w:val="24"/>
          <w:szCs w:val="24"/>
          <w:highlight w:val="cyan"/>
        </w:rPr>
        <w:t>y</w:t>
      </w:r>
      <w:r w:rsidRPr="00D057D7">
        <w:rPr>
          <w:rStyle w:val="Odkaznakoment"/>
          <w:color w:val="000000"/>
          <w:sz w:val="24"/>
          <w:szCs w:val="24"/>
          <w:highlight w:val="cyan"/>
        </w:rPr>
        <w:t xml:space="preserve"> č. </w:t>
      </w:r>
      <w:proofErr w:type="spellStart"/>
      <w:r w:rsidRPr="00D057D7">
        <w:rPr>
          <w:rStyle w:val="Odkaznakoment"/>
          <w:color w:val="000000"/>
          <w:sz w:val="24"/>
          <w:szCs w:val="24"/>
          <w:highlight w:val="cyan"/>
        </w:rPr>
        <w:t>1D</w:t>
      </w:r>
      <w:proofErr w:type="spellEnd"/>
      <w:r w:rsidRPr="00D057D7">
        <w:rPr>
          <w:rStyle w:val="Odkaznakoment"/>
          <w:color w:val="000000"/>
          <w:sz w:val="24"/>
          <w:szCs w:val="24"/>
          <w:highlight w:val="cyan"/>
        </w:rPr>
        <w:t xml:space="preserve"> </w:t>
      </w:r>
      <w:r w:rsidRPr="00D057D7">
        <w:rPr>
          <w:rStyle w:val="Odkaznakoment"/>
          <w:color w:val="000000"/>
          <w:sz w:val="24"/>
          <w:szCs w:val="24"/>
          <w:highlight w:val="cyan"/>
        </w:rPr>
        <w:t xml:space="preserve">a </w:t>
      </w:r>
      <w:proofErr w:type="spellStart"/>
      <w:proofErr w:type="gramStart"/>
      <w:r w:rsidRPr="00D057D7">
        <w:rPr>
          <w:rStyle w:val="Odkaznakoment"/>
          <w:color w:val="000000"/>
          <w:sz w:val="24"/>
          <w:szCs w:val="24"/>
          <w:highlight w:val="cyan"/>
        </w:rPr>
        <w:t>1</w:t>
      </w:r>
      <w:r w:rsidR="00C43CE4">
        <w:rPr>
          <w:rStyle w:val="Odkaznakoment"/>
          <w:color w:val="000000"/>
          <w:sz w:val="24"/>
          <w:szCs w:val="24"/>
          <w:highlight w:val="cyan"/>
        </w:rPr>
        <w:t>F</w:t>
      </w:r>
      <w:proofErr w:type="spellEnd"/>
      <w:proofErr w:type="gramEnd"/>
      <w:r w:rsidRPr="00D057D7">
        <w:rPr>
          <w:rStyle w:val="Odkaznakoment"/>
          <w:color w:val="000000"/>
          <w:sz w:val="24"/>
          <w:szCs w:val="24"/>
          <w:highlight w:val="cyan"/>
        </w:rPr>
        <w:t xml:space="preserve"> p</w:t>
      </w:r>
      <w:r w:rsidRPr="00D057D7">
        <w:rPr>
          <w:rStyle w:val="Odkaznakoment"/>
          <w:color w:val="000000"/>
          <w:sz w:val="24"/>
          <w:szCs w:val="24"/>
          <w:highlight w:val="cyan"/>
        </w:rPr>
        <w:t>ro svoji velikost ne</w:t>
      </w:r>
      <w:r w:rsidRPr="00D057D7">
        <w:rPr>
          <w:rStyle w:val="Odkaznakoment"/>
          <w:color w:val="000000"/>
          <w:sz w:val="24"/>
          <w:szCs w:val="24"/>
          <w:highlight w:val="cyan"/>
        </w:rPr>
        <w:t>jsou</w:t>
      </w:r>
      <w:r w:rsidRPr="00D057D7">
        <w:rPr>
          <w:rStyle w:val="Odkaznakoment"/>
          <w:color w:val="000000"/>
          <w:sz w:val="24"/>
          <w:szCs w:val="24"/>
          <w:highlight w:val="cyan"/>
        </w:rPr>
        <w:t xml:space="preserve"> tištěnou součástí tohoto vyhotovení smlouvy, zhotovitel se s dokumenty v</w:t>
      </w:r>
      <w:r w:rsidRPr="00D057D7">
        <w:rPr>
          <w:rStyle w:val="Odkaznakoment"/>
          <w:color w:val="000000"/>
          <w:sz w:val="24"/>
          <w:szCs w:val="24"/>
          <w:highlight w:val="cyan"/>
        </w:rPr>
        <w:t> </w:t>
      </w:r>
      <w:r w:rsidRPr="00D057D7">
        <w:rPr>
          <w:rStyle w:val="Odkaznakoment"/>
          <w:color w:val="000000"/>
          <w:sz w:val="24"/>
          <w:szCs w:val="24"/>
          <w:highlight w:val="cyan"/>
        </w:rPr>
        <w:t>t</w:t>
      </w:r>
      <w:r w:rsidRPr="00D057D7">
        <w:rPr>
          <w:rStyle w:val="Odkaznakoment"/>
          <w:color w:val="000000"/>
          <w:sz w:val="24"/>
          <w:szCs w:val="24"/>
          <w:highlight w:val="cyan"/>
        </w:rPr>
        <w:t>ěchto přílohách</w:t>
      </w:r>
      <w:r w:rsidRPr="00D057D7">
        <w:rPr>
          <w:rStyle w:val="Odkaznakoment"/>
          <w:color w:val="000000"/>
          <w:sz w:val="24"/>
          <w:szCs w:val="24"/>
          <w:highlight w:val="cyan"/>
        </w:rPr>
        <w:t xml:space="preserve"> seznámil a podmínky podpisem smlouvy akceptuje. </w:t>
      </w:r>
      <w:r w:rsidRPr="00D057D7">
        <w:rPr>
          <w:rStyle w:val="Odkaznakoment"/>
          <w:color w:val="000000"/>
          <w:sz w:val="24"/>
          <w:szCs w:val="24"/>
          <w:highlight w:val="cyan"/>
        </w:rPr>
        <w:t>Kompletní smlouva včetně všech příloh</w:t>
      </w:r>
      <w:r w:rsidRPr="00D057D7">
        <w:rPr>
          <w:rStyle w:val="Odkaznakoment"/>
          <w:color w:val="000000"/>
          <w:sz w:val="24"/>
          <w:szCs w:val="24"/>
          <w:highlight w:val="cyan"/>
        </w:rPr>
        <w:t xml:space="preserve"> je zveřejněna na profilu zadavatele https://</w:t>
      </w:r>
      <w:proofErr w:type="spellStart"/>
      <w:r w:rsidRPr="00D057D7">
        <w:rPr>
          <w:rStyle w:val="Odkaznakoment"/>
          <w:color w:val="000000"/>
          <w:sz w:val="24"/>
          <w:szCs w:val="24"/>
          <w:highlight w:val="cyan"/>
        </w:rPr>
        <w:t>profily.proebiz.com</w:t>
      </w:r>
      <w:proofErr w:type="spellEnd"/>
      <w:r w:rsidRPr="00D057D7">
        <w:rPr>
          <w:rStyle w:val="Odkaznakoment"/>
          <w:color w:val="000000"/>
          <w:sz w:val="24"/>
          <w:szCs w:val="24"/>
          <w:highlight w:val="cyan"/>
        </w:rPr>
        <w:t>/profile/70946078)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bookmarkStart w:id="5" w:name="_Hlk141268768"/>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bookmarkEnd w:id="5"/>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6"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6"/>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7"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7"/>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8" w:name="_Hlk508359198"/>
      <w:r w:rsidRPr="00153998">
        <w:rPr>
          <w:bCs/>
          <w:sz w:val="22"/>
          <w:szCs w:val="22"/>
          <w:lang w:val="x-none" w:eastAsia="x-none"/>
        </w:rPr>
        <w:t xml:space="preserve">(případně kladného stanoviska k ohlášení stavby či jiných povolení zajišťujících realizaci stavby) </w:t>
      </w:r>
      <w:bookmarkEnd w:id="8"/>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D313" w14:textId="77777777" w:rsidR="004D4188" w:rsidRDefault="004D4188">
      <w:r>
        <w:separator/>
      </w:r>
    </w:p>
  </w:endnote>
  <w:endnote w:type="continuationSeparator" w:id="0">
    <w:p w14:paraId="4F8F16D8" w14:textId="77777777" w:rsidR="004D4188" w:rsidRDefault="004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053" w14:textId="77777777" w:rsidR="004D4188" w:rsidRDefault="004D4188">
      <w:r>
        <w:separator/>
      </w:r>
    </w:p>
  </w:footnote>
  <w:footnote w:type="continuationSeparator" w:id="0">
    <w:p w14:paraId="1598EF06" w14:textId="77777777" w:rsidR="004D4188" w:rsidRDefault="004D418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52A0"/>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2515"/>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5997"/>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68"/>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5B43"/>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6CE4"/>
    <w:rsid w:val="007F6FCC"/>
    <w:rsid w:val="007F7C5D"/>
    <w:rsid w:val="0080001F"/>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357"/>
    <w:rsid w:val="00B066E9"/>
    <w:rsid w:val="00B10ECD"/>
    <w:rsid w:val="00B10F4E"/>
    <w:rsid w:val="00B12C41"/>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8637</Words>
  <Characters>51935</Characters>
  <DocSecurity>0</DocSecurity>
  <Lines>432</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60452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2019-10-08T05:46:00Z</cp:lastPrinted>
  <dcterms:created xsi:type="dcterms:W3CDTF">2023-08-09T09:40:00Z</dcterms:created>
  <dcterms:modified xsi:type="dcterms:W3CDTF">2023-08-10T12:21:00Z</dcterms:modified>
</cp:coreProperties>
</file>