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5F11EB" w:rsidRPr="005F11EB">
        <w:rPr>
          <w:rFonts w:ascii="Arial Narrow" w:hAnsi="Arial Narrow" w:cs="Calibri"/>
          <w:b/>
          <w:sz w:val="22"/>
          <w:szCs w:val="22"/>
        </w:rPr>
        <w:t>Odpady 01/23 (ID</w:t>
      </w:r>
      <w:r w:rsidR="005F11EB">
        <w:rPr>
          <w:rFonts w:ascii="Arial Narrow" w:hAnsi="Arial Narrow" w:cs="Calibri"/>
          <w:sz w:val="22"/>
          <w:szCs w:val="22"/>
        </w:rPr>
        <w:t xml:space="preserve"> </w:t>
      </w:r>
      <w:r w:rsidR="005F11EB" w:rsidRPr="005F11EB">
        <w:rPr>
          <w:rFonts w:ascii="Arial Narrow" w:hAnsi="Arial Narrow" w:cs="Calibri"/>
          <w:b/>
          <w:sz w:val="22"/>
          <w:szCs w:val="22"/>
        </w:rPr>
        <w:t>43285)</w:t>
      </w:r>
      <w:r w:rsidRPr="005F11EB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094D52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500882">
        <w:rPr>
          <w:rFonts w:ascii="Arial Narrow" w:eastAsia="MS Mincho" w:hAnsi="Arial Narrow" w:cs="Arial"/>
          <w:lang w:eastAsia="ja-JP"/>
        </w:rPr>
        <w:t>.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094D52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500882">
        <w:rPr>
          <w:rFonts w:ascii="Arial Narrow" w:hAnsi="Arial Narrow" w:cs="Calibri"/>
        </w:rPr>
        <w:t>.</w:t>
      </w:r>
      <w:bookmarkStart w:id="0" w:name="_GoBack"/>
      <w:bookmarkEnd w:id="0"/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94D52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00882"/>
    <w:rsid w:val="00511508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5F42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Používateľ systému Windows</cp:lastModifiedBy>
  <cp:revision>15</cp:revision>
  <cp:lastPrinted>2020-01-27T12:29:00Z</cp:lastPrinted>
  <dcterms:created xsi:type="dcterms:W3CDTF">2023-06-30T09:19:00Z</dcterms:created>
  <dcterms:modified xsi:type="dcterms:W3CDTF">2023-08-04T04:23:00Z</dcterms:modified>
</cp:coreProperties>
</file>