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903B9" w14:textId="77777777" w:rsidR="00C44A73" w:rsidRPr="00C44A73" w:rsidRDefault="00C44A73" w:rsidP="00C44A73">
      <w:pPr>
        <w:jc w:val="right"/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załącznik nr 1 do specyfikacji</w:t>
      </w:r>
    </w:p>
    <w:p w14:paraId="4100D727" w14:textId="77777777" w:rsidR="00C44A73" w:rsidRPr="00C44A73" w:rsidRDefault="00C44A73" w:rsidP="00C44A73">
      <w:p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           </w:t>
      </w:r>
    </w:p>
    <w:p w14:paraId="584AD240" w14:textId="77777777" w:rsidR="00C44A73" w:rsidRPr="00C44A73" w:rsidRDefault="00C44A73" w:rsidP="00C44A73">
      <w:pPr>
        <w:jc w:val="center"/>
        <w:rPr>
          <w:rFonts w:ascii="Arial" w:hAnsi="Arial" w:cs="Arial"/>
          <w:b/>
          <w:iCs/>
        </w:rPr>
      </w:pPr>
      <w:r w:rsidRPr="00C44A73">
        <w:rPr>
          <w:rFonts w:ascii="Arial" w:hAnsi="Arial" w:cs="Arial"/>
          <w:b/>
          <w:iCs/>
        </w:rPr>
        <w:t>O F E R T A</w:t>
      </w:r>
    </w:p>
    <w:p w14:paraId="4970CE58" w14:textId="77777777" w:rsidR="00C44A73" w:rsidRPr="00C44A73" w:rsidRDefault="00C44A73" w:rsidP="00C44A73">
      <w:pPr>
        <w:jc w:val="center"/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dotycząca postępowania o udzielenie zamówienia publicznego pn.</w:t>
      </w:r>
    </w:p>
    <w:p w14:paraId="35EA4183" w14:textId="77777777" w:rsidR="00C44A73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44A73">
        <w:rPr>
          <w:rFonts w:ascii="Arial" w:hAnsi="Arial" w:cs="Arial"/>
          <w:b/>
          <w:bCs/>
          <w:sz w:val="20"/>
          <w:szCs w:val="20"/>
        </w:rPr>
        <w:t xml:space="preserve">Kompleksowe ubezpieczenie grupy zakupowej Gminy Piekary Śląskie oraz jednostek organizacyjnych i spółek </w:t>
      </w:r>
    </w:p>
    <w:p w14:paraId="57EAC5AE" w14:textId="5C5EA4EF" w:rsidR="00C44A73" w:rsidRPr="00BE3FAE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3FAE">
        <w:rPr>
          <w:rFonts w:ascii="Arial" w:hAnsi="Arial" w:cs="Arial"/>
          <w:b/>
          <w:bCs/>
          <w:sz w:val="20"/>
          <w:szCs w:val="20"/>
        </w:rPr>
        <w:t>CZĘŚĆ 1</w:t>
      </w:r>
    </w:p>
    <w:p w14:paraId="64AE9307" w14:textId="77777777" w:rsidR="00C44A73" w:rsidRPr="00BE3FAE" w:rsidRDefault="00C44A73" w:rsidP="00C44A73">
      <w:pPr>
        <w:tabs>
          <w:tab w:val="left" w:pos="0"/>
        </w:tabs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BE3FAE">
        <w:rPr>
          <w:rFonts w:ascii="Arial" w:eastAsia="Times New Roman" w:hAnsi="Arial" w:cs="Arial"/>
          <w:b/>
          <w:bCs/>
          <w:sz w:val="20"/>
          <w:szCs w:val="20"/>
          <w:u w:val="single"/>
        </w:rPr>
        <w:t>Ubezpieczenia odpowiedzialności cywilnej i ubezpieczenia majątkowe</w:t>
      </w:r>
    </w:p>
    <w:p w14:paraId="07A8F1CB" w14:textId="37C7C76C" w:rsidR="00C44A73" w:rsidRPr="00C44A73" w:rsidRDefault="00C44A73" w:rsidP="00C44A73">
      <w:pPr>
        <w:jc w:val="center"/>
        <w:rPr>
          <w:rFonts w:ascii="Arial" w:hAnsi="Arial" w:cs="Arial"/>
          <w:b/>
        </w:rPr>
      </w:pPr>
    </w:p>
    <w:p w14:paraId="7750BAD4" w14:textId="77777777" w:rsidR="00C44A73" w:rsidRPr="00C44A73" w:rsidRDefault="00C44A73" w:rsidP="00C44A73">
      <w:pPr>
        <w:rPr>
          <w:rFonts w:ascii="Arial" w:hAnsi="Arial" w:cs="Arial"/>
          <w:b/>
          <w:bCs/>
        </w:rPr>
      </w:pPr>
    </w:p>
    <w:p w14:paraId="6F1C5F28" w14:textId="77777777" w:rsidR="00C44A73" w:rsidRPr="00C44A73" w:rsidRDefault="00C44A73" w:rsidP="00C44A73">
      <w:p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złożona przez</w:t>
      </w:r>
      <w:r w:rsidRPr="00C44A73">
        <w:rPr>
          <w:rFonts w:ascii="Arial" w:hAnsi="Arial" w:cs="Arial"/>
          <w:iCs/>
          <w:vertAlign w:val="superscript"/>
        </w:rPr>
        <w:footnoteReference w:id="1"/>
      </w:r>
      <w:r w:rsidRPr="00C44A73">
        <w:rPr>
          <w:rFonts w:ascii="Arial" w:hAnsi="Arial" w:cs="Arial"/>
          <w:iCs/>
        </w:rPr>
        <w:t>:</w:t>
      </w:r>
    </w:p>
    <w:p w14:paraId="2E7B8362" w14:textId="77777777" w:rsidR="00C44A73" w:rsidRPr="00C44A73" w:rsidRDefault="00C44A73" w:rsidP="00C44A73">
      <w:pPr>
        <w:rPr>
          <w:rFonts w:ascii="Arial" w:hAnsi="Arial" w:cs="Arial"/>
          <w:bCs/>
        </w:rPr>
      </w:pPr>
      <w:r w:rsidRPr="00C44A73">
        <w:rPr>
          <w:rFonts w:ascii="Arial" w:hAnsi="Arial" w:cs="Arial"/>
          <w:bCs/>
        </w:rPr>
        <w:t>nazwa: ……………………………….………….....….……………….............................</w:t>
      </w:r>
    </w:p>
    <w:p w14:paraId="536C1833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r w:rsidRPr="00C44A73">
        <w:rPr>
          <w:rFonts w:ascii="Arial" w:hAnsi="Arial" w:cs="Arial"/>
          <w:bCs/>
          <w:lang w:val="de-DE"/>
        </w:rPr>
        <w:t>adres</w:t>
      </w:r>
      <w:proofErr w:type="spellEnd"/>
      <w:r w:rsidRPr="00C44A73">
        <w:rPr>
          <w:rFonts w:ascii="Arial" w:hAnsi="Arial" w:cs="Arial"/>
          <w:bCs/>
          <w:lang w:val="de-DE"/>
        </w:rPr>
        <w:t>: ……………………………………......………………..........….......……………....</w:t>
      </w:r>
    </w:p>
    <w:p w14:paraId="74E92EF2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r w:rsidRPr="00C44A73">
        <w:rPr>
          <w:rFonts w:ascii="Arial" w:hAnsi="Arial" w:cs="Arial"/>
          <w:bCs/>
          <w:lang w:val="de-DE"/>
        </w:rPr>
        <w:t>e-mail</w:t>
      </w:r>
      <w:proofErr w:type="spellEnd"/>
      <w:r w:rsidRPr="00C44A73">
        <w:rPr>
          <w:rFonts w:ascii="Arial" w:hAnsi="Arial" w:cs="Arial"/>
          <w:bCs/>
          <w:lang w:val="de-DE"/>
        </w:rPr>
        <w:t>: …................................................................................................................</w:t>
      </w:r>
    </w:p>
    <w:p w14:paraId="30BAF2A0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proofErr w:type="spellStart"/>
      <w:r w:rsidRPr="00C44A73">
        <w:rPr>
          <w:rFonts w:ascii="Arial" w:hAnsi="Arial" w:cs="Arial"/>
          <w:bCs/>
          <w:lang w:val="de-DE"/>
        </w:rPr>
        <w:t>telefon</w:t>
      </w:r>
      <w:proofErr w:type="spellEnd"/>
      <w:r w:rsidRPr="00C44A73">
        <w:rPr>
          <w:rFonts w:ascii="Arial" w:hAnsi="Arial" w:cs="Arial"/>
          <w:bCs/>
          <w:lang w:val="de-DE"/>
        </w:rPr>
        <w:t xml:space="preserve">: .………………………………………………………………….…........................  </w:t>
      </w:r>
    </w:p>
    <w:p w14:paraId="0EFAAF95" w14:textId="77777777" w:rsidR="00C44A73" w:rsidRPr="00C44A73" w:rsidRDefault="00C44A73" w:rsidP="00C44A73">
      <w:pPr>
        <w:rPr>
          <w:rFonts w:ascii="Arial" w:hAnsi="Arial" w:cs="Arial"/>
          <w:bCs/>
          <w:lang w:val="de-DE"/>
        </w:rPr>
      </w:pPr>
      <w:r w:rsidRPr="00C44A73">
        <w:rPr>
          <w:rFonts w:ascii="Arial" w:hAnsi="Arial" w:cs="Arial"/>
          <w:bCs/>
          <w:lang w:val="de-DE"/>
        </w:rPr>
        <w:t>NIP: .......................................................................................................................</w:t>
      </w:r>
    </w:p>
    <w:p w14:paraId="422E973C" w14:textId="77777777" w:rsidR="00C44A73" w:rsidRPr="00C44A73" w:rsidRDefault="00C44A73" w:rsidP="00C44A73">
      <w:pPr>
        <w:rPr>
          <w:rFonts w:ascii="Arial" w:hAnsi="Arial" w:cs="Arial"/>
          <w:b/>
          <w:bCs/>
          <w:lang w:val="de-DE"/>
        </w:rPr>
      </w:pPr>
      <w:r w:rsidRPr="00C44A73">
        <w:rPr>
          <w:rFonts w:ascii="Arial" w:hAnsi="Arial" w:cs="Arial"/>
          <w:bCs/>
          <w:lang w:val="de-DE"/>
        </w:rPr>
        <w:t>REGON: ………………………………………………………….…………………………..</w:t>
      </w:r>
    </w:p>
    <w:p w14:paraId="106CA3CE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32D4C27F" w14:textId="664A5E1F" w:rsid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Oferujemy wykonanie zamówienia na następujących warunkach: </w:t>
      </w:r>
    </w:p>
    <w:p w14:paraId="4E09B19D" w14:textId="77777777" w:rsidR="00EF41A1" w:rsidRPr="00C44A73" w:rsidRDefault="00EF41A1" w:rsidP="00EF41A1">
      <w:pPr>
        <w:ind w:left="360"/>
        <w:rPr>
          <w:rFonts w:ascii="Arial" w:hAnsi="Arial" w:cs="Arial"/>
          <w:iCs/>
        </w:rPr>
      </w:pPr>
    </w:p>
    <w:tbl>
      <w:tblPr>
        <w:tblW w:w="1475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489"/>
        <w:gridCol w:w="2606"/>
        <w:gridCol w:w="1701"/>
        <w:gridCol w:w="1843"/>
        <w:gridCol w:w="1134"/>
        <w:gridCol w:w="1636"/>
        <w:gridCol w:w="1917"/>
      </w:tblGrid>
      <w:tr w:rsidR="00C44A73" w:rsidRPr="00EF41A1" w14:paraId="7B53CED2" w14:textId="77777777" w:rsidTr="00F74B08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64A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5FE3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8604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3FB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177C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DF3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164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89F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</w:tr>
      <w:tr w:rsidR="00C44A73" w:rsidRPr="00EF41A1" w14:paraId="51CA146A" w14:textId="77777777" w:rsidTr="00F74B08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3A2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0C7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Rodzaj ubezpieczenia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1B6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Przedmiot ubezpieczenia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4D4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Okres ubezpieczenia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D85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Suma ubezpieczenia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27F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Stawka w %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08D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Składka w PLN za 12 miesięcy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F441" w14:textId="126584B5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Składka w PLN za 36 miesięcy (kol.8 x 3</w:t>
            </w:r>
            <w:r w:rsidR="002D17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lata</w:t>
            </w: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C44A73" w:rsidRPr="00EF41A1" w14:paraId="2FD318A2" w14:textId="77777777" w:rsidTr="00F74B08">
        <w:trPr>
          <w:trHeight w:val="5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0631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5DEB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Ubezpieczenie odpowiedzialności cywilnej z tytułu prowadzonej działalności i posiadanego mienia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CB3A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3527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0524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5.000.000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061A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ECF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5BB6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44A73" w:rsidRPr="00EF41A1" w14:paraId="2EF04891" w14:textId="77777777" w:rsidTr="00F74B08">
        <w:trPr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BC38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811E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2E65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Mienie zgodnie z opisem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B20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BDFD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>362.260.636,20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3C6C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C6D6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E425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44A73" w:rsidRPr="00EF41A1" w14:paraId="49449E39" w14:textId="77777777" w:rsidTr="006051D6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B672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101B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Ubezpieczenie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835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Sprzęt elektroniczny zgodnie z opisem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A9C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 miesięcy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2D94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  <w:r w:rsidRPr="00EF41A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7.764.265,91 PLN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3FF0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A45E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7D3F" w14:textId="77777777" w:rsidR="00C44A73" w:rsidRPr="00EF41A1" w:rsidRDefault="00C44A73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6051D6" w:rsidRPr="00EF41A1" w14:paraId="18AE240B" w14:textId="77777777" w:rsidTr="00272114">
        <w:trPr>
          <w:trHeight w:val="777"/>
        </w:trPr>
        <w:tc>
          <w:tcPr>
            <w:tcW w:w="12835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BD5B" w14:textId="701836FB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Składka łączna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, tym samym cena ofertowa brutto: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4B454B" w14:textId="77777777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051D6" w:rsidRPr="00EF41A1" w14:paraId="4CDC2AEC" w14:textId="77777777" w:rsidTr="006051D6">
        <w:trPr>
          <w:trHeight w:val="630"/>
        </w:trPr>
        <w:tc>
          <w:tcPr>
            <w:tcW w:w="1283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E756" w14:textId="77777777" w:rsidR="006051D6" w:rsidRPr="00EF41A1" w:rsidRDefault="006051D6" w:rsidP="00F74B0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AB2B" w14:textId="77777777" w:rsidR="006051D6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6FDD03E" w14:textId="608C49FA" w:rsidR="006051D6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 tym ……….. %</w:t>
            </w:r>
          </w:p>
          <w:p w14:paraId="1D2FC66E" w14:textId="0D4B2FC6" w:rsidR="006051D6" w:rsidRPr="00EF41A1" w:rsidRDefault="006051D6" w:rsidP="006051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podatku VAT</w:t>
            </w:r>
          </w:p>
        </w:tc>
      </w:tr>
    </w:tbl>
    <w:p w14:paraId="422C574A" w14:textId="4188C7AC" w:rsidR="00C44A73" w:rsidRDefault="00C44A73" w:rsidP="00C44A73">
      <w:pPr>
        <w:rPr>
          <w:rFonts w:ascii="Arial" w:hAnsi="Arial" w:cs="Arial"/>
          <w:iCs/>
        </w:rPr>
      </w:pPr>
    </w:p>
    <w:p w14:paraId="3760E04F" w14:textId="1A8A13D6" w:rsidR="00C44A73" w:rsidRDefault="00C44A73" w:rsidP="00C44A73">
      <w:pPr>
        <w:rPr>
          <w:rFonts w:ascii="Arial" w:hAnsi="Arial" w:cs="Arial"/>
          <w:iCs/>
        </w:rPr>
      </w:pPr>
    </w:p>
    <w:p w14:paraId="41985999" w14:textId="77777777" w:rsidR="00C44A73" w:rsidRPr="008325D5" w:rsidRDefault="00C44A73" w:rsidP="008325D5">
      <w:pPr>
        <w:pStyle w:val="Akapitzlist"/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40" w:after="4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325D5">
        <w:rPr>
          <w:rFonts w:ascii="Arial" w:eastAsia="Times New Roman" w:hAnsi="Arial" w:cs="Arial"/>
          <w:sz w:val="20"/>
          <w:szCs w:val="20"/>
        </w:rPr>
        <w:t>Oświadczam, iż zastosuję w ofercie ubezpieczenia klauzule fakultatywne rozszerzające zakres ochrony ubezpieczeniowej, zgodnie z poniższą tabelą: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9968"/>
        <w:gridCol w:w="2127"/>
      </w:tblGrid>
      <w:tr w:rsidR="00981B5E" w:rsidRPr="00EF41A1" w14:paraId="1E8F7CFB" w14:textId="77777777" w:rsidTr="00981B5E">
        <w:tc>
          <w:tcPr>
            <w:tcW w:w="550" w:type="dxa"/>
            <w:shd w:val="clear" w:color="auto" w:fill="BFBFBF"/>
          </w:tcPr>
          <w:p w14:paraId="0CB21CA6" w14:textId="77777777" w:rsidR="00981B5E" w:rsidRPr="00EF41A1" w:rsidRDefault="00981B5E" w:rsidP="00F74B08">
            <w:pPr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9968" w:type="dxa"/>
            <w:shd w:val="clear" w:color="auto" w:fill="BFBFBF"/>
          </w:tcPr>
          <w:p w14:paraId="2801CC85" w14:textId="77777777" w:rsidR="00981B5E" w:rsidRPr="00EF41A1" w:rsidRDefault="00981B5E" w:rsidP="00F74B08">
            <w:pPr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Nazwa klauzuli</w:t>
            </w:r>
          </w:p>
        </w:tc>
        <w:tc>
          <w:tcPr>
            <w:tcW w:w="2127" w:type="dxa"/>
            <w:shd w:val="clear" w:color="auto" w:fill="BFBFBF"/>
          </w:tcPr>
          <w:p w14:paraId="42C51A5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AKCEPTACJA*</w:t>
            </w:r>
          </w:p>
        </w:tc>
      </w:tr>
      <w:tr w:rsidR="00981B5E" w:rsidRPr="00EF41A1" w14:paraId="26A03323" w14:textId="77777777" w:rsidTr="00981B5E">
        <w:tc>
          <w:tcPr>
            <w:tcW w:w="550" w:type="dxa"/>
            <w:shd w:val="clear" w:color="auto" w:fill="BFBFBF"/>
          </w:tcPr>
          <w:p w14:paraId="01BA5DB6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9968" w:type="dxa"/>
          </w:tcPr>
          <w:p w14:paraId="65A9CF4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Klauzula zwiększenia limitu dla klauzuli katastrofy budowlanej do kwoty 20 000 000 PLN (dotyczy ubezpieczenia mienia)</w:t>
            </w:r>
          </w:p>
        </w:tc>
        <w:tc>
          <w:tcPr>
            <w:tcW w:w="2127" w:type="dxa"/>
          </w:tcPr>
          <w:p w14:paraId="70AC8CBD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34995D34" w14:textId="77777777" w:rsidTr="00981B5E">
        <w:tc>
          <w:tcPr>
            <w:tcW w:w="550" w:type="dxa"/>
            <w:shd w:val="clear" w:color="auto" w:fill="BFBFBF"/>
          </w:tcPr>
          <w:p w14:paraId="6AD67E95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968" w:type="dxa"/>
          </w:tcPr>
          <w:p w14:paraId="41C31529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pacing w:val="-1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Klauzula kradzieży zwykłej (dotyczy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127" w:type="dxa"/>
          </w:tcPr>
          <w:p w14:paraId="17EB2FE7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EAB6561" w14:textId="77777777" w:rsidTr="00981B5E">
        <w:tc>
          <w:tcPr>
            <w:tcW w:w="550" w:type="dxa"/>
            <w:shd w:val="clear" w:color="auto" w:fill="BFBFBF"/>
          </w:tcPr>
          <w:p w14:paraId="7A9954C6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9968" w:type="dxa"/>
          </w:tcPr>
          <w:p w14:paraId="67563BAB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Klauzula aktów terroryzmu (dotyczy ubezpieczenia mienia, ubezpieczenia sprzętu elektronicznego)</w:t>
            </w:r>
          </w:p>
        </w:tc>
        <w:tc>
          <w:tcPr>
            <w:tcW w:w="2127" w:type="dxa"/>
          </w:tcPr>
          <w:p w14:paraId="03C6049B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EE60D7C" w14:textId="77777777" w:rsidTr="00981B5E">
        <w:tc>
          <w:tcPr>
            <w:tcW w:w="550" w:type="dxa"/>
            <w:shd w:val="clear" w:color="auto" w:fill="BFBFBF"/>
          </w:tcPr>
          <w:p w14:paraId="705D277B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9968" w:type="dxa"/>
          </w:tcPr>
          <w:p w14:paraId="40C09371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  <w:t>Klauzula ubezpieczenia mienia ratowniczego poza miejscem ubezpieczenia- podczas akcji ratowniczych, ćwiczeń i szkoleń, prowadzonych na terenie RP (dotyczy ubezpieczenia mienia od wszystkich ryzyk, ubezpieczenia sprzętu elektronicznego od wszystkich ryzyk)</w:t>
            </w:r>
          </w:p>
        </w:tc>
        <w:tc>
          <w:tcPr>
            <w:tcW w:w="2127" w:type="dxa"/>
          </w:tcPr>
          <w:p w14:paraId="12624462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1C88E7F" w14:textId="77777777" w:rsidTr="00981B5E">
        <w:tc>
          <w:tcPr>
            <w:tcW w:w="550" w:type="dxa"/>
            <w:shd w:val="clear" w:color="auto" w:fill="BFBFBF"/>
          </w:tcPr>
          <w:p w14:paraId="3AA03C7E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9968" w:type="dxa"/>
          </w:tcPr>
          <w:p w14:paraId="303D7D9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biegłych rewidentów (dotyczy ubezpieczenia mienia od wszystkich ryzyk, ubezpieczenia sprzetu elektronicznego od wszystkich ryzyk)</w:t>
            </w:r>
          </w:p>
        </w:tc>
        <w:tc>
          <w:tcPr>
            <w:tcW w:w="2127" w:type="dxa"/>
          </w:tcPr>
          <w:p w14:paraId="298A82CC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E20BCB4" w14:textId="77777777" w:rsidTr="00981B5E">
        <w:tc>
          <w:tcPr>
            <w:tcW w:w="550" w:type="dxa"/>
            <w:shd w:val="clear" w:color="auto" w:fill="BFBFBF"/>
          </w:tcPr>
          <w:p w14:paraId="460F756E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9968" w:type="dxa"/>
          </w:tcPr>
          <w:p w14:paraId="5A18C7E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strajków, rozruchów i zamieszek społecznych (dotyczy ubezpieczenia mienia od wszystkich ryzyk, ubezpieczenia sprzętu elektronicznego od wszystkich ryzyk)</w:t>
            </w:r>
          </w:p>
        </w:tc>
        <w:tc>
          <w:tcPr>
            <w:tcW w:w="2127" w:type="dxa"/>
          </w:tcPr>
          <w:p w14:paraId="171E3D42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DE23F13" w14:textId="77777777" w:rsidTr="00981B5E">
        <w:tc>
          <w:tcPr>
            <w:tcW w:w="550" w:type="dxa"/>
            <w:shd w:val="clear" w:color="auto" w:fill="BFBFBF"/>
          </w:tcPr>
          <w:p w14:paraId="48F43A47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9968" w:type="dxa"/>
          </w:tcPr>
          <w:p w14:paraId="5C6C9D6B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bookmarkStart w:id="0" w:name="_Hlk147148819"/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 xml:space="preserve">Klauzula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ubezpieczen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ia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 xml:space="preserve"> dodatkowych kosztów pracy w godzinach nadliczbowych, nocnych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i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w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>dniach wolnych od pracy, serwisu zagranicznego oraz frachtu ekspresowego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</w:t>
            </w:r>
            <w:bookmarkEnd w:id="0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(dotyczy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239608F4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1428A7C3" w14:textId="77777777" w:rsidTr="00981B5E">
        <w:tc>
          <w:tcPr>
            <w:tcW w:w="550" w:type="dxa"/>
            <w:shd w:val="clear" w:color="auto" w:fill="BFBFBF"/>
          </w:tcPr>
          <w:p w14:paraId="7B9A8BD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9968" w:type="dxa"/>
          </w:tcPr>
          <w:p w14:paraId="72F3FCC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napełnienia sprzętu gaśniczego (dotyczy ubezpieczenia mienia od wszystkich ryzyk)</w:t>
            </w:r>
          </w:p>
        </w:tc>
        <w:tc>
          <w:tcPr>
            <w:tcW w:w="2127" w:type="dxa"/>
          </w:tcPr>
          <w:p w14:paraId="2574FD5D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10AEDB1" w14:textId="77777777" w:rsidTr="00981B5E">
        <w:tc>
          <w:tcPr>
            <w:tcW w:w="550" w:type="dxa"/>
            <w:shd w:val="clear" w:color="auto" w:fill="BFBFBF"/>
          </w:tcPr>
          <w:p w14:paraId="76B8A88C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9968" w:type="dxa"/>
          </w:tcPr>
          <w:p w14:paraId="2526F25B" w14:textId="77777777" w:rsidR="00981B5E" w:rsidRPr="00EF41A1" w:rsidRDefault="00981B5E" w:rsidP="00F74B08">
            <w:pPr>
              <w:jc w:val="both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pl-PL"/>
              </w:rPr>
              <w:t>Klauzula zwiekszenie limitu dla klauzuli awarii i uszkodzeń do 300 000 PLN (dotyczy ubezpieczenia mienia od wszystkich ryzyk)</w:t>
            </w:r>
          </w:p>
        </w:tc>
        <w:tc>
          <w:tcPr>
            <w:tcW w:w="2127" w:type="dxa"/>
          </w:tcPr>
          <w:p w14:paraId="585286D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7DD2C44F" w14:textId="77777777" w:rsidTr="00981B5E">
        <w:tc>
          <w:tcPr>
            <w:tcW w:w="550" w:type="dxa"/>
            <w:shd w:val="clear" w:color="auto" w:fill="BFBFBF"/>
          </w:tcPr>
          <w:p w14:paraId="4B4DA37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9968" w:type="dxa"/>
          </w:tcPr>
          <w:p w14:paraId="7C8542AD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wyrównania sum ubezpieczenia (dotyczy ubezpieczenia mienia od wszsytkich ryzyk, sprzętu elektronicznego od wszystkich ryzyk)</w:t>
            </w:r>
          </w:p>
        </w:tc>
        <w:tc>
          <w:tcPr>
            <w:tcW w:w="2127" w:type="dxa"/>
          </w:tcPr>
          <w:p w14:paraId="256DBC05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23FBF473" w14:textId="77777777" w:rsidTr="00981B5E">
        <w:tc>
          <w:tcPr>
            <w:tcW w:w="550" w:type="dxa"/>
            <w:shd w:val="clear" w:color="auto" w:fill="BFBFBF"/>
          </w:tcPr>
          <w:p w14:paraId="19C20941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9968" w:type="dxa"/>
          </w:tcPr>
          <w:p w14:paraId="43E9D483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odkupienia urządzeń (dotyczy ubezpieczenia mienia, ubezpieczenia sprzętu elektronicznego od wszystkich ryzyk)</w:t>
            </w:r>
          </w:p>
        </w:tc>
        <w:tc>
          <w:tcPr>
            <w:tcW w:w="2127" w:type="dxa"/>
          </w:tcPr>
          <w:p w14:paraId="65986F8A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586365B6" w14:textId="77777777" w:rsidTr="00981B5E">
        <w:tc>
          <w:tcPr>
            <w:tcW w:w="550" w:type="dxa"/>
            <w:shd w:val="clear" w:color="auto" w:fill="BFBFBF"/>
          </w:tcPr>
          <w:p w14:paraId="13DDA829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9968" w:type="dxa"/>
          </w:tcPr>
          <w:p w14:paraId="3988F234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eastAsia="x-none"/>
              </w:rPr>
              <w:t>Klauzula odbudowy w innej technologii (dotyczy ubezpieczenia mienia)</w:t>
            </w:r>
          </w:p>
        </w:tc>
        <w:tc>
          <w:tcPr>
            <w:tcW w:w="2127" w:type="dxa"/>
          </w:tcPr>
          <w:p w14:paraId="574A4C71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42D4AC0E" w14:textId="77777777" w:rsidTr="00981B5E">
        <w:tc>
          <w:tcPr>
            <w:tcW w:w="550" w:type="dxa"/>
            <w:shd w:val="clear" w:color="auto" w:fill="BFBFBF"/>
          </w:tcPr>
          <w:p w14:paraId="7841EF13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9968" w:type="dxa"/>
          </w:tcPr>
          <w:p w14:paraId="147DA4B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Klauzula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val="x-none" w:eastAsia="x-none"/>
              </w:rPr>
              <w:t xml:space="preserve"> tymczasowego magazynowania lub chwilowej przerwy w eksploatacji sprzętu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 (dotyczy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7E7AA9E5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0F64A2AA" w14:textId="77777777" w:rsidTr="00981B5E">
        <w:tc>
          <w:tcPr>
            <w:tcW w:w="550" w:type="dxa"/>
            <w:shd w:val="clear" w:color="auto" w:fill="BFBFBF"/>
          </w:tcPr>
          <w:p w14:paraId="73D96448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9968" w:type="dxa"/>
          </w:tcPr>
          <w:p w14:paraId="75E91E21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iCs/>
                <w:noProof/>
                <w:color w:val="000000"/>
                <w:sz w:val="18"/>
                <w:szCs w:val="18"/>
                <w:lang w:val="x-none" w:eastAsia="x-none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Klauzula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val="x-none" w:eastAsia="x-none"/>
              </w:rPr>
              <w:t xml:space="preserve"> ubezpieczenia sprzętu elektronicznego od daty dostawy do daty włączenia do planowanej eksploatacji</w:t>
            </w: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 xml:space="preserve"> (dotyczy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2D181183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81B5E" w:rsidRPr="00EF41A1" w14:paraId="2B3E8B0C" w14:textId="77777777" w:rsidTr="00981B5E">
        <w:tc>
          <w:tcPr>
            <w:tcW w:w="550" w:type="dxa"/>
            <w:shd w:val="clear" w:color="auto" w:fill="BFBFBF"/>
          </w:tcPr>
          <w:p w14:paraId="22C0FF98" w14:textId="77777777" w:rsidR="00981B5E" w:rsidRPr="00EF41A1" w:rsidRDefault="00981B5E" w:rsidP="00F74B08">
            <w:pPr>
              <w:contextualSpacing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15. </w:t>
            </w:r>
          </w:p>
        </w:tc>
        <w:tc>
          <w:tcPr>
            <w:tcW w:w="9968" w:type="dxa"/>
          </w:tcPr>
          <w:p w14:paraId="611A27A9" w14:textId="77777777" w:rsidR="00981B5E" w:rsidRPr="00EF41A1" w:rsidRDefault="00981B5E" w:rsidP="00F74B08">
            <w:pPr>
              <w:keepNext/>
              <w:jc w:val="both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</w:pPr>
            <w:r w:rsidRPr="00EF41A1">
              <w:rPr>
                <w:rFonts w:ascii="Arial" w:eastAsia="Times New Roman" w:hAnsi="Arial" w:cs="Arial"/>
                <w:color w:val="000000"/>
                <w:sz w:val="18"/>
                <w:szCs w:val="18"/>
                <w:lang w:eastAsia="x-none"/>
              </w:rPr>
              <w:t>Klauzula 72 godzin (</w:t>
            </w:r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dotyczy ubezpieczenia mienia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 xml:space="preserve">, ubezpieczenia sprzętu elektronicznego od wszystkich </w:t>
            </w:r>
            <w:proofErr w:type="spellStart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ryzyk</w:t>
            </w:r>
            <w:proofErr w:type="spellEnd"/>
            <w:r w:rsidRPr="00EF41A1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2127" w:type="dxa"/>
          </w:tcPr>
          <w:p w14:paraId="47A54B17" w14:textId="77777777" w:rsidR="00981B5E" w:rsidRPr="00EF41A1" w:rsidRDefault="00981B5E" w:rsidP="00F74B08">
            <w:pPr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9690F19" w14:textId="77777777" w:rsidR="00C44A73" w:rsidRPr="001815D8" w:rsidRDefault="00C44A73" w:rsidP="00C44A73">
      <w:pPr>
        <w:pStyle w:val="Tekstpodstawowywcity3"/>
        <w:spacing w:before="60" w:after="60"/>
        <w:ind w:left="0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1815D8">
        <w:rPr>
          <w:rFonts w:ascii="Calibri" w:hAnsi="Calibri" w:cs="Calibri"/>
          <w:i/>
          <w:iCs/>
          <w:sz w:val="20"/>
          <w:szCs w:val="20"/>
        </w:rPr>
        <w:t xml:space="preserve">*W kolumnie „Akceptacja” w wierszu dotyczącym akceptowanej klauzuli fakultatywnej rozszerzającej zakres ochrony ubezpieczeniowej należy wpisać </w:t>
      </w:r>
      <w:r w:rsidRPr="001815D8">
        <w:rPr>
          <w:rFonts w:ascii="Calibri" w:hAnsi="Calibri" w:cs="Calibri"/>
          <w:b/>
          <w:bCs/>
          <w:i/>
          <w:iCs/>
          <w:sz w:val="20"/>
          <w:szCs w:val="20"/>
        </w:rPr>
        <w:t xml:space="preserve">„Tak” </w:t>
      </w:r>
      <w:r w:rsidRPr="001815D8">
        <w:rPr>
          <w:rFonts w:ascii="Calibri" w:hAnsi="Calibri" w:cs="Calibri"/>
          <w:i/>
          <w:iCs/>
          <w:sz w:val="20"/>
          <w:szCs w:val="20"/>
        </w:rPr>
        <w:t xml:space="preserve">lub </w:t>
      </w:r>
      <w:r w:rsidRPr="001815D8">
        <w:rPr>
          <w:rFonts w:ascii="Calibri" w:hAnsi="Calibri" w:cs="Calibri"/>
          <w:b/>
          <w:bCs/>
          <w:i/>
          <w:iCs/>
          <w:sz w:val="20"/>
          <w:szCs w:val="20"/>
        </w:rPr>
        <w:t xml:space="preserve">„Nie”. </w:t>
      </w:r>
    </w:p>
    <w:p w14:paraId="3A1D9C0F" w14:textId="589016F8" w:rsidR="00C44A73" w:rsidRPr="00C44A73" w:rsidRDefault="00C44A73" w:rsidP="00C44A73">
      <w:pPr>
        <w:rPr>
          <w:rFonts w:ascii="Arial" w:hAnsi="Arial" w:cs="Arial"/>
          <w:iCs/>
        </w:rPr>
      </w:pPr>
    </w:p>
    <w:p w14:paraId="1CF8ADB0" w14:textId="7F527A5F" w:rsidR="00C44A73" w:rsidRPr="00C44A73" w:rsidRDefault="00C44A73" w:rsidP="008325D5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 xml:space="preserve">Zobowiązujemy się realizować zamówienie przez </w:t>
      </w:r>
      <w:r w:rsidRPr="00C44A73">
        <w:rPr>
          <w:rFonts w:ascii="Arial" w:hAnsi="Arial" w:cs="Arial"/>
          <w:b/>
          <w:iCs/>
        </w:rPr>
        <w:t>36</w:t>
      </w:r>
      <w:r w:rsidRPr="00C44A73">
        <w:rPr>
          <w:rFonts w:ascii="Arial" w:hAnsi="Arial" w:cs="Arial"/>
          <w:b/>
          <w:bCs/>
          <w:iCs/>
        </w:rPr>
        <w:t xml:space="preserve"> miesięcy od dnia zawarcia umowy</w:t>
      </w:r>
      <w:r>
        <w:rPr>
          <w:rFonts w:ascii="Arial" w:hAnsi="Arial" w:cs="Arial"/>
          <w:b/>
          <w:bCs/>
          <w:iCs/>
        </w:rPr>
        <w:t>, przy czym nie wcześniej niż od 01.01.2024 r.</w:t>
      </w:r>
      <w:r w:rsidRPr="00C44A73">
        <w:rPr>
          <w:rFonts w:ascii="Arial" w:hAnsi="Arial" w:cs="Arial"/>
          <w:iCs/>
        </w:rPr>
        <w:t xml:space="preserve"> </w:t>
      </w:r>
    </w:p>
    <w:p w14:paraId="0B2C024C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3260CA6B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Zamierzamy powierzyć następującym podwykonawcom do wykonania nw. części zamówienia</w:t>
      </w:r>
      <w:r w:rsidRPr="00C44A73">
        <w:rPr>
          <w:rFonts w:ascii="Arial" w:hAnsi="Arial" w:cs="Arial"/>
          <w:iCs/>
          <w:vertAlign w:val="superscript"/>
        </w:rPr>
        <w:footnoteReference w:id="2"/>
      </w:r>
      <w:r w:rsidRPr="00C44A73">
        <w:rPr>
          <w:rFonts w:ascii="Arial" w:hAnsi="Arial" w:cs="Arial"/>
          <w:iCs/>
        </w:rPr>
        <w:t xml:space="preserve">: </w:t>
      </w:r>
    </w:p>
    <w:p w14:paraId="4642362D" w14:textId="77777777" w:rsidR="00C44A73" w:rsidRPr="00C44A73" w:rsidRDefault="00C44A73" w:rsidP="00C44A73">
      <w:pPr>
        <w:rPr>
          <w:rFonts w:ascii="Arial" w:hAnsi="Arial" w:cs="Arial"/>
          <w:iCs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4928"/>
        <w:gridCol w:w="5589"/>
      </w:tblGrid>
      <w:tr w:rsidR="00C44A73" w:rsidRPr="00C44A73" w14:paraId="21F34B92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524E0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49EFC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Firma podwykonawcy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3FBE5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Zakres zamówienia</w:t>
            </w:r>
          </w:p>
        </w:tc>
      </w:tr>
      <w:tr w:rsidR="00C44A73" w:rsidRPr="00C44A73" w14:paraId="46F7A903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6EF8B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5042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6A0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</w:tr>
      <w:tr w:rsidR="00C44A73" w:rsidRPr="00C44A73" w14:paraId="02CBE47B" w14:textId="77777777" w:rsidTr="00C44A73">
        <w:trPr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BBD78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  <w:r w:rsidRPr="00C44A73">
              <w:rPr>
                <w:rFonts w:ascii="Arial" w:hAnsi="Arial" w:cs="Arial"/>
                <w:bCs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7538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9E7" w14:textId="77777777" w:rsidR="00C44A73" w:rsidRPr="00C44A73" w:rsidRDefault="00C44A73" w:rsidP="00C44A73">
            <w:pPr>
              <w:rPr>
                <w:rFonts w:ascii="Arial" w:hAnsi="Arial" w:cs="Arial"/>
                <w:bCs/>
              </w:rPr>
            </w:pPr>
          </w:p>
        </w:tc>
      </w:tr>
    </w:tbl>
    <w:p w14:paraId="6308E2FA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66F875AD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  <w:iCs/>
        </w:rPr>
        <w:t>Oświadczamy, że wypełniliśmy obowiązki informacyjne przewidziane w art. 13 lub 14 RODO</w:t>
      </w:r>
      <w:r w:rsidRPr="00C44A73">
        <w:rPr>
          <w:rFonts w:ascii="Arial" w:hAnsi="Arial" w:cs="Arial"/>
          <w:iCs/>
          <w:vertAlign w:val="superscript"/>
        </w:rPr>
        <w:footnoteReference w:id="3"/>
      </w:r>
      <w:r w:rsidRPr="00C44A73">
        <w:rPr>
          <w:rFonts w:ascii="Arial" w:hAnsi="Arial" w:cs="Arial"/>
          <w:iCs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14:paraId="64C74B0E" w14:textId="77777777" w:rsidR="00C44A73" w:rsidRPr="00C44A73" w:rsidRDefault="00C44A73" w:rsidP="00C44A73">
      <w:pPr>
        <w:rPr>
          <w:rFonts w:ascii="Arial" w:hAnsi="Arial" w:cs="Arial"/>
          <w:iCs/>
        </w:rPr>
      </w:pPr>
    </w:p>
    <w:p w14:paraId="4C9756CA" w14:textId="77777777" w:rsidR="00C44A73" w:rsidRPr="00C44A73" w:rsidRDefault="00C44A73" w:rsidP="00C44A73">
      <w:pPr>
        <w:numPr>
          <w:ilvl w:val="0"/>
          <w:numId w:val="1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Oświadczamy, że składamy ofertę jako</w:t>
      </w:r>
      <w:r w:rsidRPr="00C44A73">
        <w:rPr>
          <w:rFonts w:ascii="Arial" w:hAnsi="Arial" w:cs="Arial"/>
          <w:bCs/>
          <w:vertAlign w:val="superscript"/>
        </w:rPr>
        <w:footnoteReference w:id="4"/>
      </w:r>
      <w:r w:rsidRPr="00C44A73">
        <w:rPr>
          <w:rFonts w:ascii="Arial" w:hAnsi="Arial" w:cs="Arial"/>
        </w:rPr>
        <w:t>:</w:t>
      </w:r>
    </w:p>
    <w:p w14:paraId="64E96324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mikroprzedsiębiorstwo</w:t>
      </w:r>
    </w:p>
    <w:p w14:paraId="688D3B29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małe przedsiębiorstwo</w:t>
      </w:r>
    </w:p>
    <w:p w14:paraId="0D2380FE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średnie przedsiębiorstwo</w:t>
      </w:r>
    </w:p>
    <w:p w14:paraId="261855BC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jednoosobowa działalność gospodarcza</w:t>
      </w:r>
    </w:p>
    <w:p w14:paraId="0E9DCF63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osoba fizyczna nieprowadząca działalności gospodarczej</w:t>
      </w:r>
    </w:p>
    <w:p w14:paraId="5729C462" w14:textId="77777777" w:rsidR="00C44A73" w:rsidRPr="00C44A73" w:rsidRDefault="00C44A73" w:rsidP="00C44A73">
      <w:pPr>
        <w:numPr>
          <w:ilvl w:val="0"/>
          <w:numId w:val="2"/>
        </w:numPr>
        <w:rPr>
          <w:rFonts w:ascii="Arial" w:hAnsi="Arial" w:cs="Arial"/>
          <w:iCs/>
        </w:rPr>
      </w:pPr>
      <w:r w:rsidRPr="00C44A73">
        <w:rPr>
          <w:rFonts w:ascii="Arial" w:hAnsi="Arial" w:cs="Arial"/>
        </w:rPr>
        <w:t>inny rodzaj (żaden z powyższych).</w:t>
      </w:r>
    </w:p>
    <w:p w14:paraId="1FF26761" w14:textId="2D8EADA5" w:rsidR="00C44A73" w:rsidRPr="00C44A73" w:rsidRDefault="00C44A73" w:rsidP="008325D5">
      <w:pPr>
        <w:jc w:val="center"/>
        <w:rPr>
          <w:rFonts w:ascii="Arial" w:hAnsi="Arial" w:cs="Arial"/>
          <w:b/>
          <w:iCs/>
        </w:rPr>
      </w:pPr>
      <w:bookmarkStart w:id="1" w:name="_GoBack"/>
      <w:bookmarkEnd w:id="1"/>
      <w:r w:rsidRPr="00C44A73">
        <w:rPr>
          <w:rFonts w:ascii="Arial" w:hAnsi="Arial" w:cs="Arial"/>
          <w:b/>
          <w:iCs/>
        </w:rPr>
        <w:t>OFERTĘ NALEŻY PODPISAĆ</w:t>
      </w:r>
    </w:p>
    <w:p w14:paraId="1D5FEE4D" w14:textId="46B61DEF" w:rsidR="004F60AC" w:rsidRPr="00C44A73" w:rsidRDefault="00C44A73" w:rsidP="008325D5">
      <w:pPr>
        <w:jc w:val="center"/>
        <w:rPr>
          <w:rFonts w:ascii="Arial" w:hAnsi="Arial" w:cs="Arial"/>
          <w:b/>
          <w:iCs/>
        </w:rPr>
      </w:pPr>
      <w:r w:rsidRPr="00C44A73">
        <w:rPr>
          <w:rFonts w:ascii="Arial" w:hAnsi="Arial" w:cs="Arial"/>
          <w:b/>
          <w:iCs/>
        </w:rPr>
        <w:t>KWALIFIKOWANYM PODPISEM ELEKTRONICZNYM</w:t>
      </w:r>
    </w:p>
    <w:sectPr w:rsidR="004F60AC" w:rsidRPr="00C44A73" w:rsidSect="00C44A7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CD2B0" w14:textId="77777777" w:rsidR="00C44A73" w:rsidRDefault="00C44A73" w:rsidP="00C44A73">
      <w:pPr>
        <w:spacing w:after="0" w:line="240" w:lineRule="auto"/>
      </w:pPr>
      <w:r>
        <w:separator/>
      </w:r>
    </w:p>
  </w:endnote>
  <w:endnote w:type="continuationSeparator" w:id="0">
    <w:p w14:paraId="0210D9D8" w14:textId="77777777" w:rsidR="00C44A73" w:rsidRDefault="00C44A73" w:rsidP="00C4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488EA" w14:textId="6000434E" w:rsidR="006A3AF0" w:rsidRDefault="006A3AF0" w:rsidP="006A3AF0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>
      <w:rPr>
        <w:rFonts w:ascii="Calibri" w:hAnsi="Calibri"/>
        <w:b/>
        <w:bCs/>
        <w:noProof/>
        <w:sz w:val="20"/>
        <w:szCs w:val="20"/>
      </w:rPr>
      <w:t>4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4</w:t>
    </w:r>
  </w:p>
  <w:p w14:paraId="321A88B7" w14:textId="77777777" w:rsidR="006A3AF0" w:rsidRPr="006A3AF0" w:rsidRDefault="006A3AF0" w:rsidP="006A3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E85DD" w14:textId="77777777" w:rsidR="00C44A73" w:rsidRDefault="00C44A73" w:rsidP="00C44A73">
      <w:pPr>
        <w:spacing w:after="0" w:line="240" w:lineRule="auto"/>
      </w:pPr>
      <w:r>
        <w:separator/>
      </w:r>
    </w:p>
  </w:footnote>
  <w:footnote w:type="continuationSeparator" w:id="0">
    <w:p w14:paraId="59D99051" w14:textId="77777777" w:rsidR="00C44A73" w:rsidRDefault="00C44A73" w:rsidP="00C44A73">
      <w:pPr>
        <w:spacing w:after="0" w:line="240" w:lineRule="auto"/>
      </w:pPr>
      <w:r>
        <w:continuationSeparator/>
      </w:r>
    </w:p>
  </w:footnote>
  <w:footnote w:id="1">
    <w:p w14:paraId="7014DA66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14:paraId="6B0B5FC2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wypełnić, jeżeli dotyczy</w:t>
      </w:r>
    </w:p>
  </w:footnote>
  <w:footnote w:id="3">
    <w:p w14:paraId="2E65741D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4">
    <w:p w14:paraId="05243FE6" w14:textId="77777777" w:rsidR="00C44A73" w:rsidRDefault="00C44A73" w:rsidP="00C44A73">
      <w:pPr>
        <w:jc w:val="both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niepotrzebne usunąć;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40BD" w14:textId="1553C8D5" w:rsidR="008325D5" w:rsidRPr="008325D5" w:rsidRDefault="008325D5">
    <w:pPr>
      <w:pStyle w:val="Nagwek"/>
      <w:rPr>
        <w:rFonts w:ascii="Arial" w:hAnsi="Arial" w:cs="Arial"/>
        <w:sz w:val="20"/>
        <w:szCs w:val="20"/>
      </w:rPr>
    </w:pPr>
    <w:r w:rsidRPr="008325D5">
      <w:rPr>
        <w:rFonts w:ascii="Arial" w:hAnsi="Arial" w:cs="Arial"/>
        <w:sz w:val="20"/>
        <w:szCs w:val="20"/>
      </w:rPr>
      <w:t>BZP.271.53.2023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54C20568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b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D86030"/>
    <w:multiLevelType w:val="multilevel"/>
    <w:tmpl w:val="2FAC4C9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505E80"/>
    <w:multiLevelType w:val="multilevel"/>
    <w:tmpl w:val="773C96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5760258"/>
    <w:multiLevelType w:val="hybridMultilevel"/>
    <w:tmpl w:val="1556FE7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C58687B"/>
    <w:multiLevelType w:val="hybridMultilevel"/>
    <w:tmpl w:val="033E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FC"/>
    <w:rsid w:val="001C0081"/>
    <w:rsid w:val="002D17C0"/>
    <w:rsid w:val="004501FC"/>
    <w:rsid w:val="004F60AC"/>
    <w:rsid w:val="006051D6"/>
    <w:rsid w:val="006A3AF0"/>
    <w:rsid w:val="008325D5"/>
    <w:rsid w:val="00981B5E"/>
    <w:rsid w:val="00C44A73"/>
    <w:rsid w:val="00D05E14"/>
    <w:rsid w:val="00D7487C"/>
    <w:rsid w:val="00E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6F33"/>
  <w15:chartTrackingRefBased/>
  <w15:docId w15:val="{79EE5DB8-41D3-4E69-BF08-C50FCE5A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4A7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C44A73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4A7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kapitzlist">
    <w:name w:val="List Paragraph"/>
    <w:basedOn w:val="Normalny"/>
    <w:uiPriority w:val="34"/>
    <w:qFormat/>
    <w:rsid w:val="008325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5D5"/>
  </w:style>
  <w:style w:type="paragraph" w:styleId="Stopka">
    <w:name w:val="footer"/>
    <w:basedOn w:val="Normalny"/>
    <w:link w:val="StopkaZnak"/>
    <w:unhideWhenUsed/>
    <w:rsid w:val="0083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25D5"/>
  </w:style>
  <w:style w:type="paragraph" w:styleId="Tekstdymka">
    <w:name w:val="Balloon Text"/>
    <w:basedOn w:val="Normalny"/>
    <w:link w:val="TekstdymkaZnak"/>
    <w:uiPriority w:val="99"/>
    <w:semiHidden/>
    <w:unhideWhenUsed/>
    <w:rsid w:val="006A3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8</cp:revision>
  <cp:lastPrinted>2023-10-25T06:19:00Z</cp:lastPrinted>
  <dcterms:created xsi:type="dcterms:W3CDTF">2023-10-16T07:40:00Z</dcterms:created>
  <dcterms:modified xsi:type="dcterms:W3CDTF">2023-10-25T06:19:00Z</dcterms:modified>
</cp:coreProperties>
</file>