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7DBC" w14:textId="77777777" w:rsidR="00C679AF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AD5BD8">
        <w:rPr>
          <w:rFonts w:asciiTheme="minorHAnsi" w:hAnsiTheme="minorHAnsi" w:cstheme="minorHAnsi"/>
          <w:b/>
        </w:rPr>
        <w:t>Specifikace předmětu veřejné zakázky</w:t>
      </w:r>
      <w:r w:rsidRPr="00AD5BD8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C679AF" w:rsidRPr="00C679AF">
        <w:rPr>
          <w:rFonts w:asciiTheme="minorHAnsi" w:hAnsiTheme="minorHAnsi" w:cstheme="minorHAnsi"/>
          <w:b/>
          <w:bCs/>
        </w:rPr>
        <w:t>Síťové přepínače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1E3386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="00E346A3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</w:p>
    <w:p w14:paraId="6B55F803" w14:textId="29DA905E" w:rsidR="00AD5BD8" w:rsidRPr="00AD5BD8" w:rsidRDefault="007C5A5B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7C5A5B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F0096C">
        <w:rPr>
          <w:rFonts w:asciiTheme="minorHAnsi" w:hAnsiTheme="minorHAnsi" w:cstheme="minorHAnsi"/>
          <w:b/>
          <w:bCs/>
          <w:noProof/>
          <w:lang w:eastAsia="cs-CZ"/>
        </w:rPr>
        <w:t>3</w:t>
      </w:r>
      <w:r w:rsidRPr="007C5A5B">
        <w:rPr>
          <w:rFonts w:asciiTheme="minorHAnsi" w:hAnsiTheme="minorHAnsi" w:cstheme="minorHAnsi"/>
          <w:b/>
          <w:bCs/>
          <w:noProof/>
          <w:lang w:eastAsia="cs-CZ"/>
        </w:rPr>
        <w:t>-</w:t>
      </w:r>
      <w:r w:rsidR="00E94BF8" w:rsidRPr="00E94BF8">
        <w:rPr>
          <w:rFonts w:asciiTheme="minorHAnsi" w:hAnsiTheme="minorHAnsi" w:cstheme="minorHAnsi"/>
          <w:b/>
          <w:bCs/>
          <w:noProof/>
          <w:lang w:eastAsia="cs-CZ"/>
        </w:rPr>
        <w:t>065</w:t>
      </w:r>
      <w:r w:rsidRPr="007C5A5B">
        <w:rPr>
          <w:rFonts w:asciiTheme="minorHAnsi" w:hAnsiTheme="minorHAnsi" w:cstheme="minorHAnsi"/>
          <w:b/>
          <w:bCs/>
          <w:noProof/>
          <w:lang w:eastAsia="cs-CZ"/>
        </w:rPr>
        <w:t>-OTE-</w:t>
      </w:r>
      <w:r w:rsidR="009F54C0">
        <w:rPr>
          <w:rFonts w:asciiTheme="minorHAnsi" w:hAnsiTheme="minorHAnsi" w:cstheme="minorHAnsi"/>
          <w:b/>
          <w:bCs/>
          <w:noProof/>
          <w:lang w:eastAsia="cs-CZ"/>
        </w:rPr>
        <w:t>KT</w:t>
      </w:r>
      <w:r w:rsidRPr="007C5A5B">
        <w:rPr>
          <w:rFonts w:asciiTheme="minorHAnsi" w:hAnsiTheme="minorHAnsi" w:cstheme="minorHAnsi"/>
          <w:b/>
          <w:bCs/>
          <w:noProof/>
          <w:lang w:eastAsia="cs-CZ"/>
        </w:rPr>
        <w:t>I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C18788F" w14:textId="2AE7E295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1CEC2833" w14:textId="2ACEFD9A" w:rsidR="00E346A3" w:rsidRDefault="00E346A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76A5EAE" w14:textId="4226D86A" w:rsidR="00F0096C" w:rsidRDefault="00F0096C" w:rsidP="00F0096C">
      <w:pPr>
        <w:spacing w:after="0"/>
        <w:jc w:val="both"/>
        <w:rPr>
          <w:rFonts w:ascii="Calibri" w:hAnsi="Calibri" w:cs="Calibri"/>
          <w:bCs/>
          <w:sz w:val="24"/>
          <w:szCs w:val="24"/>
          <w:lang w:eastAsia="cs-CZ"/>
        </w:rPr>
      </w:pPr>
      <w:r>
        <w:rPr>
          <w:rFonts w:ascii="Calibri" w:hAnsi="Calibri" w:cs="Calibri"/>
          <w:bCs/>
          <w:sz w:val="24"/>
          <w:szCs w:val="24"/>
          <w:lang w:eastAsia="cs-CZ"/>
        </w:rPr>
        <w:t xml:space="preserve">Předmětem veřejné zakázky je </w:t>
      </w:r>
      <w:r w:rsidRPr="00154FD6">
        <w:rPr>
          <w:rFonts w:ascii="Calibri" w:hAnsi="Calibri" w:cs="Calibri"/>
          <w:b/>
          <w:sz w:val="24"/>
          <w:szCs w:val="24"/>
          <w:lang w:eastAsia="cs-CZ"/>
        </w:rPr>
        <w:t xml:space="preserve">dodávka </w:t>
      </w:r>
      <w:r w:rsidR="00C679AF">
        <w:rPr>
          <w:rFonts w:ascii="Calibri" w:hAnsi="Calibri" w:cs="Calibri"/>
          <w:b/>
          <w:sz w:val="24"/>
          <w:szCs w:val="24"/>
          <w:lang w:eastAsia="cs-CZ"/>
        </w:rPr>
        <w:t xml:space="preserve">síťových přepínačů vč. příslušenství </w:t>
      </w:r>
      <w:r w:rsidR="00C679AF" w:rsidRPr="00C679AF">
        <w:rPr>
          <w:rFonts w:ascii="Calibri" w:hAnsi="Calibri" w:cs="Calibri"/>
          <w:bCs/>
          <w:sz w:val="24"/>
          <w:szCs w:val="24"/>
          <w:lang w:eastAsia="cs-CZ"/>
        </w:rPr>
        <w:t>dle následující specifikace</w:t>
      </w:r>
      <w:r>
        <w:rPr>
          <w:rFonts w:ascii="Calibri" w:hAnsi="Calibri" w:cs="Calibri"/>
          <w:bCs/>
          <w:sz w:val="24"/>
          <w:szCs w:val="24"/>
          <w:lang w:eastAsia="cs-CZ"/>
        </w:rPr>
        <w:t>:</w:t>
      </w:r>
    </w:p>
    <w:p w14:paraId="3D3B3E81" w14:textId="77777777" w:rsidR="00C679AF" w:rsidRDefault="00C679AF" w:rsidP="00F0096C">
      <w:pPr>
        <w:spacing w:after="0"/>
        <w:jc w:val="both"/>
        <w:rPr>
          <w:rFonts w:ascii="Calibri" w:hAnsi="Calibri" w:cs="Calibri"/>
          <w:bCs/>
          <w:sz w:val="24"/>
          <w:szCs w:val="24"/>
          <w:lang w:eastAsia="cs-CZ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40"/>
        <w:gridCol w:w="840"/>
      </w:tblGrid>
      <w:tr w:rsidR="000E2B39" w:rsidRPr="000E2B39" w14:paraId="0EF97B2A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786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Příloha č. 1 - Specifikace předmětu veřejné zakázky „Síťové přepínače“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C1CC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E2B39" w:rsidRPr="000E2B39" w14:paraId="5C6C1630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BBC0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EC8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A1B09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6E8912A6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1B43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Pozn: Žlutě označené pole vyplní uchazeč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B6D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8660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0A1260D2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D5B3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695A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A51E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7C938A84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bottom"/>
            <w:hideMark/>
          </w:tcPr>
          <w:p w14:paraId="7E19017F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Poptávané položky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bottom"/>
            <w:hideMark/>
          </w:tcPr>
          <w:p w14:paraId="205B6198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Přesné označení nabízeného modelu zařízení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bottom"/>
            <w:hideMark/>
          </w:tcPr>
          <w:p w14:paraId="6CBBD2D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</w:tr>
      <w:tr w:rsidR="000E2B39" w:rsidRPr="000E2B39" w14:paraId="3DE8C2D1" w14:textId="77777777" w:rsidTr="000E2B39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EE0D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Core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přepínače dle specifikace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6FA4B8F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507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0E2B39" w:rsidRPr="000E2B39" w14:paraId="36E29AD8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A0BF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Přístupové přepínače s 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PoE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dle specifikace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D18A8A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B11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0E2B39" w:rsidRPr="000E2B39" w14:paraId="1C0900CA" w14:textId="77777777" w:rsidTr="000E2B39">
        <w:trPr>
          <w:trHeight w:val="4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1FE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Kompatibilní WDM SFP+ moduly pro 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propoje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mezi 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Core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Přístupovými přepínači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33D8B9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2E0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72</w:t>
            </w:r>
          </w:p>
        </w:tc>
      </w:tr>
      <w:tr w:rsidR="000E2B39" w:rsidRPr="000E2B39" w14:paraId="196EBB2A" w14:textId="77777777" w:rsidTr="000E2B39">
        <w:trPr>
          <w:trHeight w:val="4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FFFB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Kompatibilní QSFP moduly pro propojení mezi </w:t>
            </w:r>
            <w:proofErr w:type="spellStart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Core</w:t>
            </w:r>
            <w:proofErr w:type="spellEnd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přepínači a stávající technologií - Dell </w:t>
            </w:r>
            <w:proofErr w:type="spellStart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PowerSwitch</w:t>
            </w:r>
            <w:proofErr w:type="spellEnd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S4128F - strana nabízených přepínačů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BBF550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A93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</w:t>
            </w:r>
          </w:p>
        </w:tc>
      </w:tr>
      <w:tr w:rsidR="000E2B39" w:rsidRPr="000E2B39" w14:paraId="15BCA727" w14:textId="77777777" w:rsidTr="000E2B39">
        <w:trPr>
          <w:trHeight w:val="7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EA5D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Kompatibilní QSFP moduly pro propojení mezi </w:t>
            </w:r>
            <w:proofErr w:type="spellStart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Core</w:t>
            </w:r>
            <w:proofErr w:type="spellEnd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přepínači a stávající technologií - Dell </w:t>
            </w:r>
            <w:proofErr w:type="spellStart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PowerSwitch</w:t>
            </w:r>
            <w:proofErr w:type="spellEnd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S4128F - strana stávající technologie pro Dell </w:t>
            </w:r>
            <w:proofErr w:type="spellStart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PowerSwitch</w:t>
            </w:r>
            <w:proofErr w:type="spellEnd"/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S4128F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F41BCC9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646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4</w:t>
            </w:r>
          </w:p>
        </w:tc>
      </w:tr>
      <w:tr w:rsidR="000E2B39" w:rsidRPr="000E2B39" w14:paraId="26C557CB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2D95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5944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738A9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71A74B44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7BC5BEE7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Technické požadavky na poptávané přepínače a jejich management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6C39964B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7847B2E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Splňuje</w:t>
            </w:r>
          </w:p>
        </w:tc>
      </w:tr>
      <w:tr w:rsidR="000E2B39" w:rsidRPr="000E2B39" w14:paraId="3B40B899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F5994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4F92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54E7C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26426882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3CF69F59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Obecné požadavky na centrální management platformu poptávaných přepínačů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5C4BE409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66780AC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ANO / NE</w:t>
            </w:r>
          </w:p>
        </w:tc>
      </w:tr>
      <w:tr w:rsidR="000E2B39" w:rsidRPr="000E2B39" w14:paraId="697799A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1280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Efektivní správa poptávaných přepínačů z hlediska konfigurace, zabezpečení, logování, atd. pro zefektivnění jejich nasazení a následné správy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C29915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3FA7FF0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858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Může se jednat o fyzické i VM řešení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D7418C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1011D2A0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D921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platforma musí umožnit grafické znázornění fyzické a logické topologie spravovaných přepínačů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3890A5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B0F301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FEF2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platforma musí umožnit zobrazení a vyhledávání koncových zařízení připojených ke spravovaným zařízením ve fyzické i logické topologii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4653F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3FCE367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57B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platforma musí umožnit poskytnout údaje o vytížení jednotlivých přepínačů jak z pohledu CPU a paměti, tak datových toků na jednotlivých portech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A8DB96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A13649D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56B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platforma musí umožnit kompletní síťovou i bezpečnostní konfiguraci přepínačů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EEA358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110AC1B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B135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platforma musí umožnit hromadnou správu více přepínačů najednou pro akce 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jeko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je například upgrade jejich operačního systému a registrace jejich podpory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25ED62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30019F6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6A0A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 xml:space="preserve"> platforma musí umožnit administrátorský přístup pomocí SSH a HTTPS a také z ní je možné SSH přístup na samotné přepínače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9BE07E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0988936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EA8D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Mangement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platforma musí podporovat SNMP v1/v2c/v3 a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Syslog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včetně nativní integrace s poptávaným analyzátorem provozu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6630A8C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E0DD2B8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82C1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Management platforma by měla být do budoucna schopna spravovat ve stejném rozsahu i AP od stejného výrobce zvolených přepínačů bez dodatečných licenčních nákladů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1A9116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0748DEB" w14:textId="77777777" w:rsidTr="00187A64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9B40F" w14:textId="1CCCF42D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D8DC6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4B51B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7B0A6652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56AA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9734B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8CA01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5CA61656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59044F73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Obecné technické požadavky na poptávané </w:t>
            </w:r>
            <w:proofErr w:type="spellStart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Core</w:t>
            </w:r>
            <w:proofErr w:type="spellEnd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přepínače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1568CBC4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705DE1A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ANO / NE</w:t>
            </w:r>
          </w:p>
        </w:tc>
      </w:tr>
      <w:tr w:rsidR="000E2B39" w:rsidRPr="000E2B39" w14:paraId="6B231B3D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BF46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L2/L3 přepínač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BDDF10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6C83634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D65E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802.3ad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A49A8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188F4942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65F1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802.1q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57D4E5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3A50DB9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2A50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802.1ab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3627E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D8BD615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5F60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lastRenderedPageBreak/>
              <w:t>Podpora IEEE 802.1s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B3D8A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9D459CB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C25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802.1w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9045D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164A4ED4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90EB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IEEE 802.1p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156ED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04AD325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E63F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ACL (IPv4 a IPv6) </w:t>
            </w:r>
            <w:r w:rsidRPr="00187A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až 4000 záznamů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593C07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AEA80FF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0457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L2 ACL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1A458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61B7F94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8384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ECMP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B9205F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7E58F6F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AE8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802.1x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34CE47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C148C68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65E0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Radius</w:t>
            </w:r>
            <w:proofErr w:type="spellEnd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Accounting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9CFFF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0754E90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5E46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ARP inspekce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3CA43C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03F1F1D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D011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IGMP, DHCP a MLD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snooping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D61E94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2FACD9A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589B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protokolů RIPv2, BGP, OSPFv2, VRRP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E8E735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F767028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67D5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multicast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PIM-SM protokolu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D23CE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DCBAB8A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871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Jumbo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Frame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 velikosti alespoň 9000B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7FBEE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36FAC47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9E21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SPAN, RSPAN a ERSPAN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3F3F6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B308EA4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E89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Multi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-Chassis Link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Aggregeation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protokolu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07897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0E14315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F436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 administrátorského přístupu pomocí Telnet, SSH a HTTPS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916BCC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532EE5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56FE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duálního firmwaru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312A5D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C95D651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DD5D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SNMP v1/v2c/v3,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sFlow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Syslog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(včetně možnosti komunikace pomocí TCP),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Radius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 TACACS+ protokolu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52125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B5085D9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A4EF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Integrovaný nástroj pro packet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capture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0357E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28BE3DB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A78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D940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C60D7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6C0F09E5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2BB13AE7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Specifické technické požadavky na poptávané </w:t>
            </w:r>
            <w:proofErr w:type="spellStart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Core</w:t>
            </w:r>
            <w:proofErr w:type="spellEnd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přepínače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492D6A70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6E591F34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ANO / NE</w:t>
            </w:r>
          </w:p>
        </w:tc>
      </w:tr>
      <w:tr w:rsidR="000E2B39" w:rsidRPr="000E2B39" w14:paraId="28DB007A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87B6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Minimálně 24x 1/10 GE SFP/SFP+ síťové porty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920BC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9B3FA37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5B8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Minimálně 2x QSFP 40 nebo 100 nebo 40/100 GE síťové porty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84260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2364E7D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CBF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Samostatný RJ-45 konzolový/management port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9109EB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767B5A4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149D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Velikost maximálně 1 RU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219809C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4C82DAFA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2DAA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Minimální přepínací kapacita</w:t>
            </w:r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450 </w:t>
            </w:r>
            <w:proofErr w:type="spellStart"/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Gbps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D4D1D6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648E4FF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99A9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Propustnost minimálně </w:t>
            </w:r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700 </w:t>
            </w:r>
            <w:proofErr w:type="spellStart"/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Mpps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6ED75D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1897239D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FF26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Velikost bufferu pro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spracování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paketů je alespoň </w:t>
            </w:r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8MB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09A400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7DBF40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F40E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Minimální počet LAG skupin odpovídá počtu SFP+ portů přepínače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C8BBDD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0AFA21A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F20E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Minimální počet podporovaných VLAN alespoň 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4ECA32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1A7B4F1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934B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Minimální velikost MAC  tabulky alespoň </w:t>
            </w:r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</w:t>
            </w: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záznamů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21618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3C69C9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31CF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Minimálně dva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redundatní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zdroje napájení s možností výměny za chodu přepínače, které jsou součásti dodávky včetně přívodních kabelů pro CZ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2E484C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A51527E" w14:textId="77777777" w:rsidTr="00187A64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1802A" w14:textId="7DC0324B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BBC3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60A99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357744D4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8D7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7C21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CCBD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5018C61E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3B984E82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Obecné technické požadavky na poptávané přístupové </w:t>
            </w:r>
            <w:proofErr w:type="spellStart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přeínače</w:t>
            </w:r>
            <w:proofErr w:type="spellEnd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PoE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5D08B4BB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320A4C2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ANO / NE</w:t>
            </w:r>
          </w:p>
        </w:tc>
      </w:tr>
      <w:tr w:rsidR="000E2B39" w:rsidRPr="000E2B39" w14:paraId="6E1886AC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4516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L2 přepínač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E8552D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DD6C7CB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60E8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802.3ad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D977D4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E3EF3E1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B766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802.1q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779940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1AF30C6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F174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802.1ab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21CC8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3E2DEAF6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19D0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Možnost propojení s prvkem podporující IEEE 802.1s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BDFA0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81BDE6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A1FC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IEEE 802.1w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A1E005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D2B4E8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39C8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ACL IPv4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C881E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16CFEDB6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ACCA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802.1x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4499E0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B1BD297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0F99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lastRenderedPageBreak/>
              <w:t xml:space="preserve">Podpora </w:t>
            </w:r>
            <w:proofErr w:type="spellStart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Radius</w:t>
            </w:r>
            <w:proofErr w:type="spellEnd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Accounting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566281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15DD5778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D075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ARP inspekce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CBFE0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FE6A1E2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30F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IGMP a DHCP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snooping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8C56B2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F88C887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5649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Jumbo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Frame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 velikosti alespoň 9000B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440536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958D04F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A9B4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SPAN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581CE1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286E22F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481C" w14:textId="77777777" w:rsidR="000E2B39" w:rsidRPr="000E2B39" w:rsidRDefault="000E2B39" w:rsidP="000E2B39">
            <w:pPr>
              <w:spacing w:after="0" w:line="240" w:lineRule="auto"/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TrebuchetMS" w:eastAsia="Times New Roman" w:hAnsi="TrebuchetMS" w:cs="Calibri"/>
                <w:color w:val="000000"/>
                <w:sz w:val="18"/>
                <w:szCs w:val="18"/>
                <w:lang w:eastAsia="cs-CZ"/>
              </w:rPr>
              <w:t>Podpora  administrátorského přístupu pomocí Telnet, SSH a HTTPS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A712BF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FAD7250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F2C7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SNMP v1/v2c/v3,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Syslog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(včetně možnosti komunikace pomocí TCP),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Radius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 TACACS+ protokolu pro autentizaci administrátorů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317DA2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2017413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455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47F6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74CC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4F397799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3CCEDF0F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Specifické technické požadavky na poptávané přístupové </w:t>
            </w:r>
            <w:proofErr w:type="spellStart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přeínače</w:t>
            </w:r>
            <w:proofErr w:type="spellEnd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PoE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67501A7D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071517A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ANO / NE</w:t>
            </w:r>
          </w:p>
        </w:tc>
      </w:tr>
      <w:tr w:rsidR="000E2B39" w:rsidRPr="000E2B39" w14:paraId="120237C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142D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Minimálně 48x 10/100/1000 RJ-45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348FC42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024F73D2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E7C3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Minimálně 4x SFP/SFP+ nebo 2x SFP/SFP+ + 2x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stack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(stohovací) port (možnost připojení 2 dalších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switchů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stacku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/ stohu)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C51F53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48472B9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967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PoE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budget minimálně 350W a podpora 802.3at nebo vyšší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78E20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EB9E30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FBEB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Samostatný RJ-45 konzolový/management port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9A68F9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8EE6DB9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B9AA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Velikost maximálně 1RU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4D84D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2DCC5229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1378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Minimální přepínací kapacita 170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Gbps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9BC472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02A3CB1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B568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Propustnost minimá</w:t>
            </w:r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lně 250 </w:t>
            </w:r>
            <w:proofErr w:type="spellStart"/>
            <w:r w:rsidRPr="000E2B3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Mpps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D40756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F506D43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2F4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Minimální počet podporovaných VLAN ID alespoň 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1AC6FB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8685B05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9AA1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Napájecí zdroje a přívodní elektrický kabel pro CZ je součástí dodávky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644CC8E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3CD36B1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BD2F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duálního firmwaru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FEA357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5532CC24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0855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Podpora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sFlow</w:t>
            </w:r>
            <w:proofErr w:type="spellEnd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pro IPv4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246B3E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7DC10EF9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57C6" w14:textId="77777777" w:rsidR="000E2B39" w:rsidRPr="000E2B39" w:rsidRDefault="000E2B39" w:rsidP="000E2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Integrovaný nástroj pro packet </w:t>
            </w:r>
            <w:proofErr w:type="spellStart"/>
            <w:r w:rsidRPr="000E2B3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capture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0A007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2B39" w:rsidRPr="000E2B39" w14:paraId="6D18065B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71AC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C035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7A4E" w14:textId="77777777" w:rsidR="000E2B39" w:rsidRPr="000E2B39" w:rsidRDefault="000E2B39" w:rsidP="000E2B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E2B39" w:rsidRPr="000E2B39" w14:paraId="271DD97B" w14:textId="77777777" w:rsidTr="000E2B39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4DB8D35C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Požadavky na podporu přepínačů výrobcem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46914577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4E22C64A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ANO / NE</w:t>
            </w:r>
          </w:p>
        </w:tc>
      </w:tr>
      <w:tr w:rsidR="000E2B39" w:rsidRPr="000E2B39" w14:paraId="47602F05" w14:textId="77777777" w:rsidTr="000E2B39">
        <w:trPr>
          <w:trHeight w:val="31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F9EF" w14:textId="77777777" w:rsidR="000E2B39" w:rsidRPr="000E2B39" w:rsidRDefault="000E2B39" w:rsidP="000E2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Záruka NBDD (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Next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Business 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Day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Delivery</w:t>
            </w:r>
            <w:proofErr w:type="spellEnd"/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) po dobu 5 let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7D0CC8" w14:textId="77777777" w:rsidR="000E2B39" w:rsidRPr="000E2B39" w:rsidRDefault="000E2B39" w:rsidP="000E2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E2B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DD2B1D4" w14:textId="77777777" w:rsidR="000E2B39" w:rsidRDefault="000E2B39" w:rsidP="00F0096C">
      <w:pPr>
        <w:spacing w:after="0"/>
        <w:jc w:val="both"/>
        <w:rPr>
          <w:rFonts w:ascii="Calibri" w:hAnsi="Calibri" w:cs="Calibri"/>
          <w:bCs/>
          <w:sz w:val="24"/>
          <w:szCs w:val="24"/>
          <w:lang w:eastAsia="cs-CZ"/>
        </w:rPr>
      </w:pPr>
    </w:p>
    <w:sectPr w:rsidR="000E2B39" w:rsidSect="00AE7FB3">
      <w:headerReference w:type="default" r:id="rId8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E11E" w14:textId="77777777" w:rsidR="00477F5D" w:rsidRDefault="00477F5D" w:rsidP="00EC2645">
      <w:pPr>
        <w:spacing w:after="0" w:line="240" w:lineRule="auto"/>
      </w:pPr>
      <w:r>
        <w:separator/>
      </w:r>
    </w:p>
  </w:endnote>
  <w:endnote w:type="continuationSeparator" w:id="0">
    <w:p w14:paraId="7192C47C" w14:textId="77777777" w:rsidR="00477F5D" w:rsidRDefault="00477F5D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D4EC" w14:textId="77777777" w:rsidR="00477F5D" w:rsidRDefault="00477F5D" w:rsidP="00EC2645">
      <w:pPr>
        <w:spacing w:after="0" w:line="240" w:lineRule="auto"/>
      </w:pPr>
      <w:r>
        <w:separator/>
      </w:r>
    </w:p>
  </w:footnote>
  <w:footnote w:type="continuationSeparator" w:id="0">
    <w:p w14:paraId="604305BF" w14:textId="77777777" w:rsidR="00477F5D" w:rsidRDefault="00477F5D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057F" w14:textId="0D974AED" w:rsidR="000613F5" w:rsidRPr="000613F5" w:rsidRDefault="000613F5" w:rsidP="000613F5">
    <w:pPr>
      <w:pStyle w:val="Zhlav"/>
      <w:spacing w:after="120"/>
      <w:rPr>
        <w:rFonts w:asciiTheme="minorHAnsi" w:hAnsiTheme="minorHAnsi" w:cstheme="minorHAnsi"/>
        <w:sz w:val="18"/>
        <w:szCs w:val="18"/>
      </w:rPr>
    </w:pPr>
    <w:r w:rsidRPr="000613F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3</w:t>
    </w:r>
    <w:r w:rsidRPr="000613F5">
      <w:rPr>
        <w:rFonts w:asciiTheme="minorHAnsi" w:hAnsiTheme="minorHAnsi" w:cstheme="minorHAnsi"/>
        <w:sz w:val="18"/>
        <w:szCs w:val="18"/>
      </w:rPr>
      <w:t xml:space="preserve"> zadávací dokumentace – </w:t>
    </w:r>
    <w:r>
      <w:rPr>
        <w:rFonts w:asciiTheme="minorHAnsi" w:hAnsiTheme="minorHAnsi" w:cstheme="minorHAnsi"/>
        <w:sz w:val="18"/>
        <w:szCs w:val="18"/>
      </w:rPr>
      <w:t>Specifikace předmětu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867"/>
    <w:multiLevelType w:val="hybridMultilevel"/>
    <w:tmpl w:val="D8304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E16"/>
    <w:multiLevelType w:val="multilevel"/>
    <w:tmpl w:val="CCB6ED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0FB"/>
    <w:multiLevelType w:val="hybridMultilevel"/>
    <w:tmpl w:val="6806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34965">
    <w:abstractNumId w:val="4"/>
  </w:num>
  <w:num w:numId="2" w16cid:durableId="1404330840">
    <w:abstractNumId w:val="2"/>
  </w:num>
  <w:num w:numId="3" w16cid:durableId="1468549742">
    <w:abstractNumId w:val="8"/>
  </w:num>
  <w:num w:numId="4" w16cid:durableId="1268123038">
    <w:abstractNumId w:val="6"/>
  </w:num>
  <w:num w:numId="5" w16cid:durableId="983465025">
    <w:abstractNumId w:val="9"/>
  </w:num>
  <w:num w:numId="6" w16cid:durableId="1261766171">
    <w:abstractNumId w:val="5"/>
  </w:num>
  <w:num w:numId="7" w16cid:durableId="1401753859">
    <w:abstractNumId w:val="7"/>
  </w:num>
  <w:num w:numId="8" w16cid:durableId="938030056">
    <w:abstractNumId w:val="0"/>
  </w:num>
  <w:num w:numId="9" w16cid:durableId="1916282081">
    <w:abstractNumId w:val="1"/>
  </w:num>
  <w:num w:numId="10" w16cid:durableId="175462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61D3"/>
    <w:rsid w:val="00060546"/>
    <w:rsid w:val="000613F5"/>
    <w:rsid w:val="00084588"/>
    <w:rsid w:val="000966E6"/>
    <w:rsid w:val="000C4476"/>
    <w:rsid w:val="000E2B39"/>
    <w:rsid w:val="0010010A"/>
    <w:rsid w:val="00121CEF"/>
    <w:rsid w:val="00154FD6"/>
    <w:rsid w:val="00187A64"/>
    <w:rsid w:val="001E3386"/>
    <w:rsid w:val="001E7459"/>
    <w:rsid w:val="00286BC2"/>
    <w:rsid w:val="0038306E"/>
    <w:rsid w:val="003D0169"/>
    <w:rsid w:val="0045578F"/>
    <w:rsid w:val="004607F8"/>
    <w:rsid w:val="00477F5D"/>
    <w:rsid w:val="00495E2E"/>
    <w:rsid w:val="004C5950"/>
    <w:rsid w:val="004D398C"/>
    <w:rsid w:val="004E0188"/>
    <w:rsid w:val="005426D3"/>
    <w:rsid w:val="00544443"/>
    <w:rsid w:val="005616B2"/>
    <w:rsid w:val="00563D30"/>
    <w:rsid w:val="00577E18"/>
    <w:rsid w:val="005A6DE4"/>
    <w:rsid w:val="005B172A"/>
    <w:rsid w:val="005B2AF4"/>
    <w:rsid w:val="005E2F3F"/>
    <w:rsid w:val="0062379F"/>
    <w:rsid w:val="006A4252"/>
    <w:rsid w:val="006B6428"/>
    <w:rsid w:val="0070030B"/>
    <w:rsid w:val="00715350"/>
    <w:rsid w:val="00731069"/>
    <w:rsid w:val="00747FFD"/>
    <w:rsid w:val="00780C4E"/>
    <w:rsid w:val="007839DC"/>
    <w:rsid w:val="00791BE3"/>
    <w:rsid w:val="007C5A5B"/>
    <w:rsid w:val="00804496"/>
    <w:rsid w:val="008416F5"/>
    <w:rsid w:val="00853834"/>
    <w:rsid w:val="00875548"/>
    <w:rsid w:val="008A24D9"/>
    <w:rsid w:val="008A5D3A"/>
    <w:rsid w:val="008B5C1C"/>
    <w:rsid w:val="00952D65"/>
    <w:rsid w:val="009828D1"/>
    <w:rsid w:val="009D0505"/>
    <w:rsid w:val="009D181E"/>
    <w:rsid w:val="009E76B9"/>
    <w:rsid w:val="009F54C0"/>
    <w:rsid w:val="00A012EB"/>
    <w:rsid w:val="00A040B8"/>
    <w:rsid w:val="00A208E1"/>
    <w:rsid w:val="00A27781"/>
    <w:rsid w:val="00A93E2C"/>
    <w:rsid w:val="00A96305"/>
    <w:rsid w:val="00AA76AD"/>
    <w:rsid w:val="00AB326D"/>
    <w:rsid w:val="00AC51E6"/>
    <w:rsid w:val="00AD5BD8"/>
    <w:rsid w:val="00AD7BBA"/>
    <w:rsid w:val="00AF5B0F"/>
    <w:rsid w:val="00B34F9F"/>
    <w:rsid w:val="00B54FD0"/>
    <w:rsid w:val="00B6641A"/>
    <w:rsid w:val="00B75540"/>
    <w:rsid w:val="00B94D2B"/>
    <w:rsid w:val="00BC00A4"/>
    <w:rsid w:val="00BF6ED9"/>
    <w:rsid w:val="00C416AF"/>
    <w:rsid w:val="00C42F88"/>
    <w:rsid w:val="00C679AF"/>
    <w:rsid w:val="00C776DD"/>
    <w:rsid w:val="00CB5109"/>
    <w:rsid w:val="00CC1272"/>
    <w:rsid w:val="00CD25A1"/>
    <w:rsid w:val="00CD6FD6"/>
    <w:rsid w:val="00CD78A3"/>
    <w:rsid w:val="00D864FF"/>
    <w:rsid w:val="00DA0956"/>
    <w:rsid w:val="00DB21CD"/>
    <w:rsid w:val="00DC52FB"/>
    <w:rsid w:val="00DD66B3"/>
    <w:rsid w:val="00E346A3"/>
    <w:rsid w:val="00E640A6"/>
    <w:rsid w:val="00E844C9"/>
    <w:rsid w:val="00E94BF8"/>
    <w:rsid w:val="00EB4A3B"/>
    <w:rsid w:val="00EC2645"/>
    <w:rsid w:val="00ED462A"/>
    <w:rsid w:val="00ED71CD"/>
    <w:rsid w:val="00F0096C"/>
    <w:rsid w:val="00F17C6C"/>
    <w:rsid w:val="00F33434"/>
    <w:rsid w:val="00F37F3D"/>
    <w:rsid w:val="00F47548"/>
    <w:rsid w:val="00F6459E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95B6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8306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D86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F00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F0096C"/>
    <w:rPr>
      <w:b/>
      <w:bCs/>
    </w:rPr>
  </w:style>
  <w:style w:type="character" w:customStyle="1" w:styleId="spec-highlightvalue">
    <w:name w:val="spec-highlight__value"/>
    <w:basedOn w:val="Standardnpsmoodstavce"/>
    <w:rsid w:val="00F0096C"/>
  </w:style>
  <w:style w:type="character" w:styleId="Nevyeenzmnka">
    <w:name w:val="Unresolved Mention"/>
    <w:basedOn w:val="Standardnpsmoodstavce"/>
    <w:uiPriority w:val="99"/>
    <w:semiHidden/>
    <w:unhideWhenUsed/>
    <w:rsid w:val="009E76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2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4AAF-6D23-431A-8FBA-901D1076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František Procházka</cp:lastModifiedBy>
  <cp:revision>11</cp:revision>
  <cp:lastPrinted>2022-07-01T08:30:00Z</cp:lastPrinted>
  <dcterms:created xsi:type="dcterms:W3CDTF">2023-10-16T13:30:00Z</dcterms:created>
  <dcterms:modified xsi:type="dcterms:W3CDTF">2023-10-31T06:33:00Z</dcterms:modified>
</cp:coreProperties>
</file>