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8B1995E"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A06A12">
        <w:rPr>
          <w:b/>
          <w:color w:val="000000" w:themeColor="text1"/>
          <w:szCs w:val="22"/>
        </w:rPr>
        <w:t>3</w:t>
      </w:r>
    </w:p>
    <w:p w14:paraId="14355C53" w14:textId="77777777" w:rsidR="007C3F95" w:rsidRDefault="007C3F95" w:rsidP="007C3F95">
      <w:pPr>
        <w:pBdr>
          <w:top w:val="single" w:sz="4" w:space="1" w:color="auto"/>
        </w:pBdr>
        <w:rPr>
          <w:sz w:val="20"/>
        </w:rPr>
      </w:pPr>
    </w:p>
    <w:p w14:paraId="758A05E1" w14:textId="77777777" w:rsidR="00462CEE" w:rsidRPr="005E77A9" w:rsidRDefault="00462CEE" w:rsidP="007C3F95">
      <w:pPr>
        <w:pBdr>
          <w:top w:val="single" w:sz="4" w:space="1" w:color="auto"/>
        </w:pBdr>
        <w:rPr>
          <w:sz w:val="20"/>
        </w:rPr>
      </w:pPr>
    </w:p>
    <w:p w14:paraId="26345194" w14:textId="7346050E" w:rsidR="002D2729" w:rsidRPr="00462CEE" w:rsidRDefault="002D2729" w:rsidP="002D2729">
      <w:pPr>
        <w:pStyle w:val="Normlnywebov"/>
        <w:spacing w:before="0" w:beforeAutospacing="0" w:after="0" w:afterAutospacing="0"/>
        <w:jc w:val="center"/>
        <w:rPr>
          <w:rFonts w:ascii="Arial" w:hAnsi="Arial" w:cs="Arial"/>
          <w:i/>
          <w:iCs/>
          <w:color w:val="000000"/>
          <w:sz w:val="20"/>
          <w:szCs w:val="20"/>
        </w:rPr>
      </w:pPr>
      <w:r w:rsidRPr="00462CEE">
        <w:rPr>
          <w:rFonts w:ascii="Arial" w:hAnsi="Arial" w:cs="Arial"/>
          <w:i/>
          <w:sz w:val="20"/>
          <w:szCs w:val="20"/>
        </w:rPr>
        <w:t xml:space="preserve">uzavretá podľa </w:t>
      </w:r>
      <w:r w:rsidRPr="00462CEE">
        <w:rPr>
          <w:rFonts w:ascii="Arial" w:hAnsi="Arial" w:cs="Arial"/>
          <w:i/>
          <w:iCs/>
          <w:color w:val="000000"/>
          <w:sz w:val="20"/>
          <w:szCs w:val="20"/>
        </w:rPr>
        <w:t>§ 663 a </w:t>
      </w:r>
      <w:proofErr w:type="spellStart"/>
      <w:r w:rsidRPr="00462CEE">
        <w:rPr>
          <w:rFonts w:ascii="Arial" w:hAnsi="Arial" w:cs="Arial"/>
          <w:i/>
          <w:iCs/>
          <w:color w:val="000000"/>
          <w:sz w:val="20"/>
          <w:szCs w:val="20"/>
        </w:rPr>
        <w:t>nasl</w:t>
      </w:r>
      <w:proofErr w:type="spellEnd"/>
      <w:r w:rsidRPr="00462CEE">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462CEE">
        <w:rPr>
          <w:rFonts w:ascii="Arial" w:hAnsi="Arial" w:cs="Arial"/>
          <w:i/>
          <w:iCs/>
          <w:color w:val="000000"/>
          <w:sz w:val="20"/>
          <w:szCs w:val="20"/>
        </w:rPr>
        <w:t>(ďalej len „</w:t>
      </w:r>
      <w:r w:rsidRPr="00462CEE">
        <w:rPr>
          <w:rFonts w:ascii="Arial" w:hAnsi="Arial" w:cs="Arial"/>
          <w:b/>
          <w:i/>
          <w:iCs/>
          <w:color w:val="000000"/>
          <w:sz w:val="20"/>
          <w:szCs w:val="20"/>
        </w:rPr>
        <w:t>Zmluva</w:t>
      </w:r>
      <w:r w:rsidRPr="00462CEE">
        <w:rPr>
          <w:rFonts w:ascii="Arial" w:hAnsi="Arial" w:cs="Arial"/>
          <w:i/>
          <w:iCs/>
          <w:color w:val="000000"/>
          <w:sz w:val="20"/>
          <w:szCs w:val="20"/>
        </w:rPr>
        <w:t>“)</w:t>
      </w:r>
    </w:p>
    <w:p w14:paraId="6B922CBE" w14:textId="61CB6F3B" w:rsidR="00422917" w:rsidRDefault="00422917" w:rsidP="002D2729">
      <w:pPr>
        <w:pStyle w:val="Normlnywebov"/>
        <w:spacing w:before="0" w:beforeAutospacing="0" w:after="0" w:afterAutospacing="0"/>
        <w:jc w:val="center"/>
        <w:rPr>
          <w:rFonts w:ascii="Arial" w:hAnsi="Arial" w:cs="Arial"/>
          <w:i/>
          <w:iCs/>
          <w:color w:val="000000"/>
          <w:sz w:val="20"/>
          <w:szCs w:val="20"/>
        </w:rPr>
      </w:pPr>
    </w:p>
    <w:p w14:paraId="37CFCF53" w14:textId="77777777" w:rsidR="00462CEE" w:rsidRPr="005E77A9" w:rsidRDefault="00462CEE"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Default="000C7887">
      <w:pPr>
        <w:widowControl w:val="0"/>
        <w:tabs>
          <w:tab w:val="left" w:pos="0"/>
        </w:tabs>
        <w:spacing w:line="240" w:lineRule="auto"/>
        <w:jc w:val="both"/>
        <w:rPr>
          <w:b/>
          <w:sz w:val="20"/>
        </w:rPr>
      </w:pPr>
      <w:r w:rsidRPr="005E77A9">
        <w:rPr>
          <w:b/>
          <w:sz w:val="20"/>
        </w:rPr>
        <w:t>Prenajímateľ:</w:t>
      </w:r>
    </w:p>
    <w:p w14:paraId="635A4C43" w14:textId="77777777" w:rsidR="00462CEE" w:rsidRPr="005E77A9" w:rsidRDefault="00462CEE">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6EA05152" w:rsidR="002F746F" w:rsidRDefault="00A06A12" w:rsidP="002F746F">
            <w:pPr>
              <w:spacing w:line="240" w:lineRule="auto"/>
              <w:ind w:left="2880" w:firstLine="720"/>
              <w:jc w:val="both"/>
              <w:rPr>
                <w:color w:val="000000" w:themeColor="text1"/>
                <w:sz w:val="20"/>
                <w:szCs w:val="22"/>
              </w:rPr>
            </w:pPr>
            <w:r>
              <w:rPr>
                <w:color w:val="000000" w:themeColor="text1"/>
                <w:sz w:val="20"/>
              </w:rPr>
              <w:t>Ing. Ladislav Bariak</w:t>
            </w:r>
            <w:r w:rsidR="002F746F">
              <w:rPr>
                <w:color w:val="000000" w:themeColor="text1"/>
                <w:sz w:val="20"/>
              </w:rPr>
              <w:t xml:space="preserve">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BA52F33" w14:textId="77777777" w:rsidR="00462CEE" w:rsidRPr="005E77A9" w:rsidRDefault="00462CEE" w:rsidP="00E23E4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Default="0094566E">
      <w:pPr>
        <w:widowControl w:val="0"/>
        <w:tabs>
          <w:tab w:val="left" w:pos="0"/>
        </w:tabs>
        <w:spacing w:line="240" w:lineRule="auto"/>
        <w:jc w:val="both"/>
        <w:rPr>
          <w:b/>
          <w:sz w:val="20"/>
        </w:rPr>
      </w:pPr>
    </w:p>
    <w:p w14:paraId="526C99F0" w14:textId="77777777" w:rsidR="00462CEE" w:rsidRPr="005E77A9" w:rsidRDefault="00462CEE">
      <w:pPr>
        <w:widowControl w:val="0"/>
        <w:tabs>
          <w:tab w:val="left" w:pos="0"/>
        </w:tabs>
        <w:spacing w:line="240" w:lineRule="auto"/>
        <w:jc w:val="both"/>
        <w:rPr>
          <w:b/>
          <w:sz w:val="20"/>
        </w:rPr>
      </w:pPr>
    </w:p>
    <w:p w14:paraId="50F493BA" w14:textId="7A5DDD0E" w:rsidR="00636F88" w:rsidRDefault="0094566E">
      <w:pPr>
        <w:widowControl w:val="0"/>
        <w:tabs>
          <w:tab w:val="left" w:pos="0"/>
        </w:tabs>
        <w:spacing w:line="240" w:lineRule="auto"/>
        <w:jc w:val="both"/>
        <w:rPr>
          <w:b/>
          <w:sz w:val="20"/>
        </w:rPr>
      </w:pPr>
      <w:r w:rsidRPr="005E77A9">
        <w:rPr>
          <w:b/>
          <w:sz w:val="20"/>
        </w:rPr>
        <w:t>Nájomca:</w:t>
      </w:r>
    </w:p>
    <w:p w14:paraId="44FD983E" w14:textId="77777777" w:rsidR="00462CEE" w:rsidRPr="005E77A9" w:rsidRDefault="00462CEE">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35953F30" w14:textId="77777777" w:rsidR="00462CEE" w:rsidRDefault="00462CEE" w:rsidP="00422917">
            <w:pPr>
              <w:tabs>
                <w:tab w:val="left" w:pos="0"/>
              </w:tabs>
              <w:spacing w:line="240" w:lineRule="auto"/>
              <w:jc w:val="both"/>
              <w:rPr>
                <w:color w:val="000000" w:themeColor="text1"/>
                <w:sz w:val="20"/>
              </w:rPr>
            </w:pPr>
          </w:p>
          <w:p w14:paraId="01C94240" w14:textId="68202E18"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07B28EE2" w14:textId="77777777" w:rsidR="00422917"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6BC5F61D" w14:textId="17B1AC99" w:rsidR="00462CEE" w:rsidRPr="005E77A9" w:rsidRDefault="00462CEE" w:rsidP="00422917">
            <w:pPr>
              <w:tabs>
                <w:tab w:val="left" w:pos="0"/>
              </w:tabs>
              <w:spacing w:line="240" w:lineRule="auto"/>
              <w:jc w:val="both"/>
              <w:rPr>
                <w:color w:val="auto"/>
                <w:sz w:val="20"/>
              </w:rPr>
            </w:pPr>
          </w:p>
        </w:tc>
      </w:tr>
    </w:tbl>
    <w:p w14:paraId="43E69837" w14:textId="77777777" w:rsidR="00AD7A0A" w:rsidRDefault="00AD7A0A">
      <w:pPr>
        <w:spacing w:line="240" w:lineRule="auto"/>
        <w:rPr>
          <w:sz w:val="20"/>
        </w:rPr>
      </w:pPr>
    </w:p>
    <w:p w14:paraId="2BA4E322" w14:textId="77777777" w:rsidR="00462CEE" w:rsidRPr="005E77A9" w:rsidRDefault="00462CEE">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341FBA01"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je </w:t>
      </w:r>
      <w:r w:rsidRPr="00462CEE">
        <w:rPr>
          <w:rFonts w:ascii="Arial" w:hAnsi="Arial" w:cs="Arial"/>
          <w:color w:val="000000" w:themeColor="text1"/>
          <w:sz w:val="20"/>
          <w:szCs w:val="20"/>
        </w:rPr>
        <w:t>výlučným vl</w:t>
      </w:r>
      <w:r w:rsidRPr="005E77A9">
        <w:rPr>
          <w:rFonts w:ascii="Arial" w:hAnsi="Arial" w:cs="Arial"/>
          <w:color w:val="000000" w:themeColor="text1"/>
          <w:sz w:val="20"/>
          <w:szCs w:val="20"/>
        </w:rPr>
        <w:t xml:space="preserve">astníkom pozemku registra „C“ KN parcelné číslo </w:t>
      </w:r>
      <w:r w:rsidR="00462CEE">
        <w:rPr>
          <w:rFonts w:ascii="Arial" w:hAnsi="Arial" w:cs="Arial"/>
          <w:color w:val="000000" w:themeColor="text1"/>
          <w:sz w:val="20"/>
          <w:szCs w:val="20"/>
        </w:rPr>
        <w:t>1667/1</w:t>
      </w:r>
      <w:r w:rsidRPr="005E77A9">
        <w:rPr>
          <w:rFonts w:ascii="Arial" w:hAnsi="Arial" w:cs="Arial"/>
          <w:color w:val="000000" w:themeColor="text1"/>
          <w:sz w:val="20"/>
          <w:szCs w:val="20"/>
        </w:rPr>
        <w:t xml:space="preserve">, ktorý je zapísaný na liste vlastníctva číslo </w:t>
      </w:r>
      <w:r w:rsidR="00462CEE">
        <w:rPr>
          <w:rFonts w:ascii="Arial" w:hAnsi="Arial" w:cs="Arial"/>
          <w:color w:val="000000" w:themeColor="text1"/>
          <w:sz w:val="20"/>
          <w:szCs w:val="20"/>
        </w:rPr>
        <w:t>11263</w:t>
      </w:r>
      <w:r w:rsidRPr="005E77A9">
        <w:rPr>
          <w:rFonts w:ascii="Arial" w:hAnsi="Arial" w:cs="Arial"/>
          <w:color w:val="000000" w:themeColor="text1"/>
          <w:sz w:val="20"/>
          <w:szCs w:val="20"/>
        </w:rPr>
        <w:t xml:space="preserve">, vedenom Okresným úradom </w:t>
      </w:r>
      <w:r w:rsidR="00462CEE" w:rsidRPr="00462CEE">
        <w:rPr>
          <w:rFonts w:ascii="Arial" w:eastAsia="Arial Unicode MS" w:hAnsi="Arial" w:cs="Arial"/>
          <w:sz w:val="20"/>
          <w:szCs w:val="20"/>
        </w:rPr>
        <w:t>Komárno, katastrálny odbor, okres: Komárno, obec: Komárno, katastrálne územie: Komárno</w:t>
      </w:r>
      <w:r w:rsidRPr="005E77A9">
        <w:rPr>
          <w:rFonts w:ascii="Arial" w:hAnsi="Arial" w:cs="Arial"/>
          <w:color w:val="000000" w:themeColor="text1"/>
          <w:sz w:val="20"/>
          <w:szCs w:val="20"/>
        </w:rPr>
        <w:t>:</w:t>
      </w:r>
    </w:p>
    <w:tbl>
      <w:tblPr>
        <w:tblW w:w="10491"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8"/>
        <w:gridCol w:w="992"/>
        <w:gridCol w:w="1276"/>
        <w:gridCol w:w="992"/>
        <w:gridCol w:w="5813"/>
      </w:tblGrid>
      <w:tr w:rsidR="00462CEE" w:rsidRPr="00EB79F9" w14:paraId="71E38BB0" w14:textId="77777777" w:rsidTr="006314CD">
        <w:tc>
          <w:tcPr>
            <w:tcW w:w="1418"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2407E82F" w14:textId="77777777" w:rsidR="00462CEE" w:rsidRPr="00EB79F9" w:rsidRDefault="00462CEE" w:rsidP="006314CD">
            <w:pPr>
              <w:jc w:val="center"/>
              <w:rPr>
                <w:b/>
                <w:sz w:val="18"/>
                <w:szCs w:val="18"/>
              </w:rPr>
            </w:pPr>
            <w:r w:rsidRPr="00EB79F9">
              <w:rPr>
                <w:b/>
                <w:sz w:val="18"/>
                <w:szCs w:val="18"/>
              </w:rPr>
              <w:lastRenderedPageBreak/>
              <w:t>Parc</w:t>
            </w:r>
            <w:r w:rsidRPr="008F6FB8">
              <w:rPr>
                <w:b/>
                <w:sz w:val="18"/>
                <w:szCs w:val="18"/>
              </w:rPr>
              <w:t>ela registra „C“</w:t>
            </w:r>
            <w:r w:rsidRPr="00EB79F9">
              <w:rPr>
                <w:b/>
                <w:sz w:val="18"/>
                <w:szCs w:val="18"/>
              </w:rPr>
              <w:t xml:space="preserve"> </w:t>
            </w:r>
            <w:r>
              <w:rPr>
                <w:b/>
                <w:sz w:val="18"/>
                <w:szCs w:val="18"/>
              </w:rPr>
              <w:t>KN číslo</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5E630B32" w14:textId="77777777" w:rsidR="00462CEE" w:rsidRPr="00EB79F9" w:rsidRDefault="00462CEE" w:rsidP="006314CD">
            <w:pPr>
              <w:jc w:val="center"/>
              <w:rPr>
                <w:b/>
                <w:sz w:val="18"/>
                <w:szCs w:val="18"/>
              </w:rPr>
            </w:pPr>
            <w:r w:rsidRPr="00EB79F9">
              <w:rPr>
                <w:b/>
                <w:sz w:val="18"/>
                <w:szCs w:val="18"/>
              </w:rPr>
              <w:t>Druh pozemku</w:t>
            </w:r>
          </w:p>
        </w:tc>
        <w:tc>
          <w:tcPr>
            <w:tcW w:w="1276" w:type="dxa"/>
            <w:tcBorders>
              <w:top w:val="single" w:sz="8" w:space="0" w:color="000000"/>
              <w:left w:val="single" w:sz="8" w:space="0" w:color="000000"/>
              <w:bottom w:val="single" w:sz="8" w:space="0" w:color="000000"/>
              <w:right w:val="single" w:sz="8" w:space="0" w:color="000000"/>
            </w:tcBorders>
          </w:tcPr>
          <w:p w14:paraId="18B158E1" w14:textId="77777777" w:rsidR="00462CEE" w:rsidRPr="00EB79F9" w:rsidRDefault="00462CEE" w:rsidP="006314CD">
            <w:pPr>
              <w:jc w:val="center"/>
              <w:rPr>
                <w:b/>
                <w:sz w:val="18"/>
                <w:szCs w:val="18"/>
              </w:rPr>
            </w:pPr>
            <w:r w:rsidRPr="00EB79F9">
              <w:rPr>
                <w:b/>
                <w:sz w:val="18"/>
                <w:szCs w:val="18"/>
              </w:rPr>
              <w:t>Celková výmera v m</w:t>
            </w:r>
            <w:r w:rsidRPr="00EB79F9">
              <w:rPr>
                <w:b/>
                <w:sz w:val="18"/>
                <w:szCs w:val="18"/>
                <w:vertAlign w:val="superscript"/>
              </w:rPr>
              <w:t>2</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66AB6FCD" w14:textId="77777777" w:rsidR="00462CEE" w:rsidRPr="00EB79F9" w:rsidRDefault="00462CEE" w:rsidP="006314CD">
            <w:pPr>
              <w:ind w:right="-18"/>
              <w:jc w:val="center"/>
              <w:rPr>
                <w:b/>
                <w:sz w:val="18"/>
                <w:szCs w:val="18"/>
              </w:rPr>
            </w:pPr>
            <w:r w:rsidRPr="00EB79F9">
              <w:rPr>
                <w:b/>
                <w:sz w:val="18"/>
                <w:szCs w:val="18"/>
              </w:rPr>
              <w:t>Výmera nájmu v</w:t>
            </w:r>
            <w:r>
              <w:rPr>
                <w:b/>
                <w:sz w:val="18"/>
                <w:szCs w:val="18"/>
              </w:rPr>
              <w:t xml:space="preserve"> </w:t>
            </w:r>
            <w:r w:rsidRPr="00EB79F9">
              <w:rPr>
                <w:b/>
                <w:sz w:val="18"/>
                <w:szCs w:val="18"/>
              </w:rPr>
              <w:t>m</w:t>
            </w:r>
            <w:r w:rsidRPr="00EB79F9">
              <w:rPr>
                <w:b/>
                <w:sz w:val="18"/>
                <w:szCs w:val="18"/>
                <w:vertAlign w:val="superscript"/>
              </w:rPr>
              <w:t>2</w:t>
            </w:r>
          </w:p>
        </w:tc>
        <w:tc>
          <w:tcPr>
            <w:tcW w:w="5813" w:type="dxa"/>
            <w:tcBorders>
              <w:top w:val="single" w:sz="8" w:space="0" w:color="000000"/>
              <w:left w:val="single" w:sz="8" w:space="0" w:color="000000"/>
              <w:bottom w:val="single" w:sz="8" w:space="0" w:color="000000"/>
              <w:right w:val="single" w:sz="8" w:space="0" w:color="000000"/>
            </w:tcBorders>
          </w:tcPr>
          <w:p w14:paraId="59ECF0ED" w14:textId="77777777" w:rsidR="00462CEE" w:rsidRPr="00EB79F9" w:rsidRDefault="00462CEE" w:rsidP="006314CD">
            <w:pPr>
              <w:jc w:val="center"/>
              <w:rPr>
                <w:b/>
                <w:sz w:val="18"/>
                <w:szCs w:val="18"/>
              </w:rPr>
            </w:pPr>
            <w:r w:rsidRPr="00196100">
              <w:rPr>
                <w:b/>
                <w:color w:val="auto"/>
                <w:sz w:val="18"/>
                <w:szCs w:val="18"/>
              </w:rPr>
              <w:t>Vecné bremeno</w:t>
            </w:r>
          </w:p>
        </w:tc>
      </w:tr>
      <w:tr w:rsidR="00462CEE" w:rsidRPr="00EB79F9" w14:paraId="28B8492B" w14:textId="77777777" w:rsidTr="006314CD">
        <w:tc>
          <w:tcPr>
            <w:tcW w:w="1418"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4172C5BD" w14:textId="77777777" w:rsidR="00462CEE" w:rsidRPr="00EB79F9" w:rsidRDefault="00462CEE" w:rsidP="006314CD">
            <w:pPr>
              <w:jc w:val="center"/>
              <w:rPr>
                <w:sz w:val="20"/>
              </w:rPr>
            </w:pPr>
            <w:r>
              <w:rPr>
                <w:sz w:val="20"/>
              </w:rPr>
              <w:t>1667/1</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6B18C597" w14:textId="77777777" w:rsidR="00462CEE" w:rsidRPr="00EB79F9" w:rsidRDefault="00462CEE" w:rsidP="006314CD">
            <w:pPr>
              <w:jc w:val="center"/>
              <w:rPr>
                <w:sz w:val="20"/>
              </w:rPr>
            </w:pPr>
            <w:r w:rsidRPr="00EB79F9">
              <w:rPr>
                <w:sz w:val="20"/>
              </w:rPr>
              <w:t>Ostatná</w:t>
            </w:r>
            <w:r>
              <w:rPr>
                <w:sz w:val="20"/>
              </w:rPr>
              <w:t xml:space="preserve"> </w:t>
            </w:r>
            <w:r w:rsidRPr="00EB79F9">
              <w:rPr>
                <w:sz w:val="20"/>
              </w:rPr>
              <w:t>plocha</w:t>
            </w:r>
          </w:p>
        </w:tc>
        <w:tc>
          <w:tcPr>
            <w:tcW w:w="1276" w:type="dxa"/>
            <w:tcBorders>
              <w:top w:val="single" w:sz="8" w:space="0" w:color="000000"/>
              <w:left w:val="single" w:sz="8" w:space="0" w:color="000000"/>
              <w:bottom w:val="single" w:sz="8" w:space="0" w:color="000000"/>
              <w:right w:val="single" w:sz="8" w:space="0" w:color="000000"/>
            </w:tcBorders>
            <w:vAlign w:val="center"/>
          </w:tcPr>
          <w:p w14:paraId="30611B35" w14:textId="77777777" w:rsidR="00462CEE" w:rsidRPr="00EB79F9" w:rsidRDefault="00462CEE" w:rsidP="006314CD">
            <w:pPr>
              <w:jc w:val="center"/>
              <w:rPr>
                <w:sz w:val="20"/>
              </w:rPr>
            </w:pPr>
            <w:r>
              <w:rPr>
                <w:sz w:val="20"/>
              </w:rPr>
              <w:t>21 119</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185D82B8" w14:textId="77777777" w:rsidR="00462CEE" w:rsidRPr="00EB79F9" w:rsidRDefault="00462CEE" w:rsidP="006314CD">
            <w:pPr>
              <w:jc w:val="center"/>
              <w:rPr>
                <w:sz w:val="20"/>
              </w:rPr>
            </w:pPr>
            <w:r>
              <w:rPr>
                <w:sz w:val="20"/>
              </w:rPr>
              <w:t>48</w:t>
            </w:r>
          </w:p>
        </w:tc>
        <w:tc>
          <w:tcPr>
            <w:tcW w:w="5813" w:type="dxa"/>
            <w:tcBorders>
              <w:top w:val="single" w:sz="8" w:space="0" w:color="000000"/>
              <w:left w:val="single" w:sz="8" w:space="0" w:color="000000"/>
              <w:bottom w:val="single" w:sz="8" w:space="0" w:color="000000"/>
              <w:right w:val="single" w:sz="8" w:space="0" w:color="000000"/>
            </w:tcBorders>
          </w:tcPr>
          <w:p w14:paraId="566C84BD" w14:textId="77777777" w:rsidR="00462CEE" w:rsidRPr="001662A2" w:rsidRDefault="00462CEE" w:rsidP="006314CD">
            <w:pPr>
              <w:ind w:right="180"/>
              <w:jc w:val="both"/>
              <w:rPr>
                <w:sz w:val="18"/>
                <w:szCs w:val="18"/>
              </w:rPr>
            </w:pPr>
            <w:r w:rsidRPr="001662A2">
              <w:rPr>
                <w:b/>
                <w:bCs/>
                <w:sz w:val="18"/>
                <w:szCs w:val="18"/>
              </w:rPr>
              <w:t>Vlastníci pozemkov p. č. 1666/12, 1666/13, 1666/14, 1666/17, 1666/19</w:t>
            </w:r>
            <w:r>
              <w:rPr>
                <w:sz w:val="18"/>
                <w:szCs w:val="18"/>
              </w:rPr>
              <w:t xml:space="preserve">- povinnosť </w:t>
            </w:r>
            <w:r w:rsidRPr="001662A2">
              <w:rPr>
                <w:sz w:val="18"/>
                <w:szCs w:val="18"/>
              </w:rPr>
              <w:t>strpieť umiestnenie, existenciu, údržbu opravu stavby "Kanalizačná prípojka"</w:t>
            </w:r>
            <w:r>
              <w:rPr>
                <w:sz w:val="18"/>
                <w:szCs w:val="18"/>
              </w:rPr>
              <w:t xml:space="preserve"> </w:t>
            </w:r>
            <w:r w:rsidRPr="001662A2">
              <w:rPr>
                <w:sz w:val="18"/>
                <w:szCs w:val="18"/>
              </w:rPr>
              <w:t>a kedykoľvek na požiadanie oprávneného z vecného bremena umožniť prístup ku kanalizačnej</w:t>
            </w:r>
          </w:p>
          <w:p w14:paraId="1C2D33D5" w14:textId="77777777" w:rsidR="00462CEE" w:rsidRPr="001662A2" w:rsidRDefault="00462CEE" w:rsidP="006314CD">
            <w:pPr>
              <w:ind w:right="180"/>
              <w:jc w:val="both"/>
              <w:rPr>
                <w:sz w:val="18"/>
                <w:szCs w:val="18"/>
              </w:rPr>
            </w:pPr>
            <w:r w:rsidRPr="001662A2">
              <w:rPr>
                <w:sz w:val="18"/>
                <w:szCs w:val="18"/>
              </w:rPr>
              <w:t>prípojke vo vyznačenom rozsahu g.</w:t>
            </w:r>
            <w:r>
              <w:rPr>
                <w:sz w:val="18"/>
                <w:szCs w:val="18"/>
              </w:rPr>
              <w:t xml:space="preserve"> </w:t>
            </w:r>
            <w:r w:rsidRPr="001662A2">
              <w:rPr>
                <w:sz w:val="18"/>
                <w:szCs w:val="18"/>
              </w:rPr>
              <w:t>pl</w:t>
            </w:r>
            <w:r>
              <w:rPr>
                <w:sz w:val="18"/>
                <w:szCs w:val="18"/>
              </w:rPr>
              <w:t>ánu č</w:t>
            </w:r>
            <w:r w:rsidRPr="001662A2">
              <w:rPr>
                <w:sz w:val="18"/>
                <w:szCs w:val="18"/>
              </w:rPr>
              <w:t>. 32414013-33/07</w:t>
            </w:r>
            <w:r>
              <w:rPr>
                <w:sz w:val="18"/>
                <w:szCs w:val="18"/>
              </w:rPr>
              <w:t xml:space="preserve"> </w:t>
            </w:r>
            <w:r w:rsidRPr="001662A2">
              <w:rPr>
                <w:sz w:val="18"/>
                <w:szCs w:val="18"/>
              </w:rPr>
              <w:t>za ú</w:t>
            </w:r>
            <w:r>
              <w:rPr>
                <w:sz w:val="18"/>
                <w:szCs w:val="18"/>
              </w:rPr>
              <w:t>č</w:t>
            </w:r>
            <w:r w:rsidRPr="001662A2">
              <w:rPr>
                <w:sz w:val="18"/>
                <w:szCs w:val="18"/>
              </w:rPr>
              <w:t>elom vykonania potrebných</w:t>
            </w:r>
            <w:r>
              <w:rPr>
                <w:sz w:val="18"/>
                <w:szCs w:val="18"/>
              </w:rPr>
              <w:t xml:space="preserve"> </w:t>
            </w:r>
            <w:r w:rsidRPr="001662A2">
              <w:rPr>
                <w:sz w:val="18"/>
                <w:szCs w:val="18"/>
              </w:rPr>
              <w:t xml:space="preserve">opráv, bežnej údržby a kontroly, ci výmeny niektorých </w:t>
            </w:r>
            <w:r>
              <w:rPr>
                <w:sz w:val="18"/>
                <w:szCs w:val="18"/>
              </w:rPr>
              <w:t>č</w:t>
            </w:r>
            <w:r w:rsidRPr="001662A2">
              <w:rPr>
                <w:sz w:val="18"/>
                <w:szCs w:val="18"/>
              </w:rPr>
              <w:t>astí pomocou techniky, strojov a</w:t>
            </w:r>
            <w:r>
              <w:rPr>
                <w:sz w:val="18"/>
                <w:szCs w:val="18"/>
              </w:rPr>
              <w:t xml:space="preserve"> </w:t>
            </w:r>
            <w:r w:rsidRPr="001662A2">
              <w:rPr>
                <w:sz w:val="18"/>
                <w:szCs w:val="18"/>
              </w:rPr>
              <w:t>potrebných mechanizmov cez pozemky p.</w:t>
            </w:r>
            <w:r>
              <w:rPr>
                <w:sz w:val="18"/>
                <w:szCs w:val="18"/>
              </w:rPr>
              <w:t xml:space="preserve"> č</w:t>
            </w:r>
            <w:r w:rsidRPr="001662A2">
              <w:rPr>
                <w:sz w:val="18"/>
                <w:szCs w:val="18"/>
              </w:rPr>
              <w:t>. 1667/1</w:t>
            </w:r>
            <w:r>
              <w:rPr>
                <w:sz w:val="18"/>
                <w:szCs w:val="18"/>
              </w:rPr>
              <w:t xml:space="preserve"> a</w:t>
            </w:r>
            <w:r w:rsidRPr="001662A2">
              <w:rPr>
                <w:sz w:val="18"/>
                <w:szCs w:val="18"/>
              </w:rPr>
              <w:t xml:space="preserve"> 1667/16</w:t>
            </w:r>
            <w:r>
              <w:rPr>
                <w:sz w:val="18"/>
                <w:szCs w:val="18"/>
              </w:rPr>
              <w:t>.</w:t>
            </w:r>
            <w:r w:rsidRPr="001662A2">
              <w:rPr>
                <w:sz w:val="18"/>
                <w:szCs w:val="18"/>
              </w:rPr>
              <w:t xml:space="preserve"> </w:t>
            </w:r>
          </w:p>
          <w:p w14:paraId="0D2A3ECF" w14:textId="77777777" w:rsidR="00462CEE" w:rsidRPr="00EB79F9" w:rsidRDefault="00462CEE" w:rsidP="006314CD">
            <w:pPr>
              <w:ind w:right="180"/>
              <w:jc w:val="both"/>
              <w:rPr>
                <w:sz w:val="18"/>
                <w:szCs w:val="18"/>
              </w:rPr>
            </w:pPr>
            <w:r w:rsidRPr="001662A2">
              <w:rPr>
                <w:b/>
                <w:bCs/>
                <w:sz w:val="18"/>
                <w:szCs w:val="18"/>
              </w:rPr>
              <w:t>Západoslovenská distribučná, a.s</w:t>
            </w:r>
            <w:r w:rsidRPr="001662A2">
              <w:rPr>
                <w:sz w:val="18"/>
                <w:szCs w:val="18"/>
              </w:rPr>
              <w:t xml:space="preserve">.- vecné bremeno Z-1971/2022, podľa § 22 a </w:t>
            </w:r>
            <w:proofErr w:type="spellStart"/>
            <w:r w:rsidRPr="001662A2">
              <w:rPr>
                <w:sz w:val="18"/>
                <w:szCs w:val="18"/>
              </w:rPr>
              <w:t>nasl</w:t>
            </w:r>
            <w:proofErr w:type="spellEnd"/>
            <w:r w:rsidRPr="001662A2">
              <w:rPr>
                <w:sz w:val="18"/>
                <w:szCs w:val="18"/>
              </w:rPr>
              <w:t xml:space="preserve">. Zákona c.79/1957 Zb. o výrobe, rozvode a spotrebe elektriny (elektrizačný zákon) v spojení s § 96 ods.4 zákona c.251/2012 Z. z. O energetike a o zmene a doplnení niektorých zákonov podľa geometrického plánu č. 47 029 102- 89/2022, týkajúce sa elektroenergetického zariadenia: 1x22 kV VN linka c.363 na trase </w:t>
            </w:r>
            <w:proofErr w:type="spellStart"/>
            <w:r w:rsidRPr="001662A2">
              <w:rPr>
                <w:sz w:val="18"/>
                <w:szCs w:val="18"/>
              </w:rPr>
              <w:t>Rz</w:t>
            </w:r>
            <w:proofErr w:type="spellEnd"/>
            <w:r w:rsidRPr="001662A2">
              <w:rPr>
                <w:sz w:val="18"/>
                <w:szCs w:val="18"/>
              </w:rPr>
              <w:t xml:space="preserve"> Komárno – TC Komárno.</w:t>
            </w:r>
          </w:p>
        </w:tc>
      </w:tr>
    </w:tbl>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1A396EEA"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462CEE">
        <w:rPr>
          <w:rFonts w:eastAsia="Arial Unicode MS"/>
          <w:sz w:val="20"/>
        </w:rPr>
        <w:t>48</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xml:space="preserve">, ktorá je zakreslená v Grafickom znázornení, ktoré tvorí Prílohu č. </w:t>
      </w:r>
      <w:r w:rsidR="00462CEE">
        <w:rPr>
          <w:color w:val="000000" w:themeColor="text1"/>
          <w:sz w:val="20"/>
        </w:rPr>
        <w:t>1</w:t>
      </w:r>
      <w:r w:rsidRPr="005E77A9">
        <w:rPr>
          <w:color w:val="000000" w:themeColor="text1"/>
          <w:sz w:val="20"/>
        </w:rPr>
        <w:t xml:space="preserve">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6005A15D"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462CEE">
        <w:rPr>
          <w:sz w:val="20"/>
        </w:rPr>
        <w:t>Účel nájmu podľa tohto článku</w:t>
      </w:r>
      <w:r w:rsidR="00664A83" w:rsidRPr="00462CEE">
        <w:rPr>
          <w:sz w:val="20"/>
        </w:rPr>
        <w:t xml:space="preserve"> </w:t>
      </w:r>
      <w:r w:rsidR="00851A68" w:rsidRPr="00462CEE">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4BE8790"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w:t>
      </w:r>
      <w:r w:rsidR="00462CEE">
        <w:rPr>
          <w:sz w:val="20"/>
        </w:rPr>
        <w:t xml:space="preserve"> do 29.02.2028 </w:t>
      </w:r>
      <w:r w:rsidR="00F839EB" w:rsidRPr="005E77A9">
        <w:rPr>
          <w:sz w:val="20"/>
        </w:rPr>
        <w:t>odo dňa účinnosti tejto Zmluvy podľa článku 1</w:t>
      </w:r>
      <w:r w:rsidR="005E2809">
        <w:rPr>
          <w:sz w:val="20"/>
        </w:rPr>
        <w:t>3</w:t>
      </w:r>
      <w:r w:rsidR="00F839EB" w:rsidRPr="005E77A9">
        <w:rPr>
          <w:sz w:val="20"/>
        </w:rPr>
        <w:t xml:space="preserve"> </w:t>
      </w:r>
      <w:r w:rsidR="00F839EB" w:rsidRPr="00462CEE">
        <w:rPr>
          <w:sz w:val="20"/>
        </w:rPr>
        <w:t>bod 1</w:t>
      </w:r>
      <w:r w:rsidR="005E2809" w:rsidRPr="00462CEE">
        <w:rPr>
          <w:sz w:val="20"/>
        </w:rPr>
        <w:t>3</w:t>
      </w:r>
      <w:r w:rsidR="00F839EB" w:rsidRPr="00462CEE">
        <w:rPr>
          <w:sz w:val="20"/>
        </w:rPr>
        <w:t>.</w:t>
      </w:r>
      <w:r w:rsidR="005E01DC" w:rsidRPr="00462CEE">
        <w:rPr>
          <w:sz w:val="20"/>
        </w:rPr>
        <w:t>5</w:t>
      </w:r>
      <w:r w:rsidR="00E00C86" w:rsidRPr="00462CEE">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lastRenderedPageBreak/>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7981EB29" w:rsidR="00054C65" w:rsidRPr="00462CEE" w:rsidRDefault="00054C65" w:rsidP="00054C65">
      <w:pPr>
        <w:spacing w:line="240" w:lineRule="auto"/>
        <w:ind w:left="690" w:hanging="720"/>
        <w:jc w:val="both"/>
        <w:rPr>
          <w:sz w:val="20"/>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4D5EC3A"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462CEE">
        <w:rPr>
          <w:rFonts w:eastAsia="Arial Unicode MS"/>
          <w:b/>
          <w:bCs/>
          <w:sz w:val="20"/>
        </w:rPr>
        <w:t>48</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462CEE">
        <w:rPr>
          <w:rFonts w:eastAsia="Arial Unicode MS"/>
          <w:b/>
          <w:bCs/>
          <w:sz w:val="20"/>
        </w:rPr>
        <w:t>rok</w:t>
      </w:r>
      <w:r w:rsidRPr="00462CEE">
        <w:rPr>
          <w:rFonts w:eastAsia="Times New Roman"/>
          <w:b/>
          <w:bCs/>
          <w:sz w:val="20"/>
        </w:rPr>
        <w:t xml:space="preserve"> + DPH</w:t>
      </w:r>
      <w:r w:rsidRPr="00462CEE">
        <w:rPr>
          <w:rFonts w:eastAsia="Times New Roman"/>
          <w:b/>
          <w:color w:val="000000" w:themeColor="text1"/>
          <w:sz w:val="20"/>
        </w:rPr>
        <w:t xml:space="preserve"> </w:t>
      </w:r>
      <w:r w:rsidRPr="00462CEE">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39837B22"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462CEE">
        <w:rPr>
          <w:rFonts w:eastAsia="Arial Unicode MS"/>
          <w:sz w:val="20"/>
        </w:rPr>
        <w:t>ročne</w:t>
      </w:r>
      <w:r w:rsidRPr="005E77A9">
        <w:rPr>
          <w:sz w:val="20"/>
        </w:rPr>
        <w:t xml:space="preserve"> vopred za každý </w:t>
      </w:r>
      <w:r w:rsidRPr="00462CEE">
        <w:rPr>
          <w:sz w:val="20"/>
        </w:rPr>
        <w:t xml:space="preserve">kalendárny </w:t>
      </w:r>
      <w:r w:rsidR="00462CEE" w:rsidRPr="00462CEE">
        <w:rPr>
          <w:rFonts w:eastAsia="Arial Unicode MS"/>
          <w:sz w:val="20"/>
        </w:rPr>
        <w:t>rok</w:t>
      </w:r>
      <w:r w:rsidRPr="00462CEE">
        <w:rPr>
          <w:sz w:val="20"/>
        </w:rPr>
        <w:t xml:space="preserve"> trvania</w:t>
      </w:r>
      <w:r w:rsidRPr="005E77A9">
        <w:rPr>
          <w:sz w:val="20"/>
        </w:rPr>
        <w:t xml:space="preserve">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462CEE">
        <w:rPr>
          <w:rFonts w:eastAsia="Arial Unicode MS"/>
          <w:color w:val="auto"/>
          <w:sz w:val="20"/>
        </w:rPr>
        <w:t>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4FDE5C8C"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462CEE">
        <w:rPr>
          <w:rFonts w:eastAsia="Arial Unicode MS"/>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w:t>
      </w:r>
      <w:r w:rsidRPr="00462CEE">
        <w:rPr>
          <w:rFonts w:eastAsia="Times New Roman"/>
          <w:sz w:val="20"/>
        </w:rPr>
        <w:t xml:space="preserve">kalendárnom </w:t>
      </w:r>
      <w:r w:rsidR="00462CEE" w:rsidRPr="00462CEE">
        <w:rPr>
          <w:rFonts w:eastAsia="Arial Unicode MS"/>
          <w:sz w:val="20"/>
        </w:rPr>
        <w:t>roku</w:t>
      </w:r>
      <w:r w:rsidRPr="00462CEE">
        <w:rPr>
          <w:rFonts w:eastAsia="Arial Unicode MS"/>
          <w:sz w:val="20"/>
        </w:rPr>
        <w:t xml:space="preserve"> </w:t>
      </w:r>
      <w:r w:rsidRPr="00462CEE">
        <w:rPr>
          <w:rFonts w:eastAsia="Times New Roman"/>
          <w:sz w:val="20"/>
        </w:rPr>
        <w:t xml:space="preserve">+ DPH. Alikvotnú časť Nájomného za prvý kalendárny </w:t>
      </w:r>
      <w:r w:rsidR="00462CEE" w:rsidRPr="00462CEE">
        <w:rPr>
          <w:rFonts w:eastAsia="Times New Roman"/>
          <w:sz w:val="20"/>
        </w:rPr>
        <w:t>rok</w:t>
      </w:r>
      <w:r w:rsidRPr="00462CEE">
        <w:rPr>
          <w:rFonts w:eastAsia="Arial Unicode MS"/>
          <w:sz w:val="20"/>
        </w:rPr>
        <w:t xml:space="preserve"> </w:t>
      </w:r>
      <w:r w:rsidRPr="00462CEE">
        <w:rPr>
          <w:rFonts w:eastAsia="Times New Roman"/>
          <w:sz w:val="20"/>
        </w:rPr>
        <w:t xml:space="preserve">trvania nájmu sa Nájomca zaväzuje uhradiť bezhotovostným prevodom na bankový účet Prenajímateľa uvedený </w:t>
      </w:r>
      <w:r w:rsidR="00E25626" w:rsidRPr="00462CEE">
        <w:rPr>
          <w:rFonts w:eastAsia="Times New Roman"/>
          <w:sz w:val="20"/>
        </w:rPr>
        <w:t>na</w:t>
      </w:r>
      <w:r w:rsidRPr="00462CEE">
        <w:rPr>
          <w:rFonts w:eastAsia="Times New Roman"/>
          <w:sz w:val="20"/>
        </w:rPr>
        <w:t xml:space="preserve"> faktúre, pričom splatnosť Nájomného je </w:t>
      </w:r>
      <w:r w:rsidR="00644C7D" w:rsidRPr="00462CEE">
        <w:rPr>
          <w:rFonts w:eastAsia="Times New Roman"/>
          <w:sz w:val="20"/>
        </w:rPr>
        <w:t xml:space="preserve">pätnásť </w:t>
      </w:r>
      <w:r w:rsidRPr="00462CEE">
        <w:rPr>
          <w:rFonts w:eastAsia="Times New Roman"/>
          <w:sz w:val="20"/>
        </w:rPr>
        <w:t>(1</w:t>
      </w:r>
      <w:r w:rsidR="00644C7D" w:rsidRPr="00462CEE">
        <w:rPr>
          <w:rFonts w:eastAsia="Times New Roman"/>
          <w:sz w:val="20"/>
        </w:rPr>
        <w:t>5</w:t>
      </w:r>
      <w:r w:rsidRPr="00462CEE">
        <w:rPr>
          <w:rFonts w:eastAsia="Times New Roman"/>
          <w:sz w:val="20"/>
        </w:rPr>
        <w:t>) pracovných dní odo dňa účinnosti</w:t>
      </w:r>
      <w:r w:rsidRPr="005E77A9">
        <w:rPr>
          <w:rFonts w:eastAsia="Times New Roman"/>
          <w:sz w:val="20"/>
        </w:rPr>
        <w:t xml:space="preserve">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462CEE" w:rsidRDefault="00D618BC" w:rsidP="00D618BC">
      <w:pPr>
        <w:spacing w:line="240" w:lineRule="auto"/>
        <w:ind w:left="690" w:hanging="720"/>
        <w:jc w:val="both"/>
        <w:rPr>
          <w:rFonts w:eastAsia="Times New Roman"/>
          <w:sz w:val="20"/>
        </w:rPr>
      </w:pPr>
      <w:r w:rsidRPr="00462CEE">
        <w:rPr>
          <w:b/>
          <w:sz w:val="20"/>
        </w:rPr>
        <w:lastRenderedPageBreak/>
        <w:t>5.4</w:t>
      </w:r>
      <w:r w:rsidRPr="00462CEE">
        <w:rPr>
          <w:sz w:val="20"/>
        </w:rPr>
        <w:t xml:space="preserve">       </w:t>
      </w:r>
      <w:r w:rsidRPr="00462CEE">
        <w:rPr>
          <w:sz w:val="20"/>
        </w:rPr>
        <w:tab/>
      </w:r>
      <w:r w:rsidRPr="00462CEE">
        <w:rPr>
          <w:rFonts w:eastAsia="Times New Roman"/>
          <w:sz w:val="20"/>
        </w:rPr>
        <w:t>Nájomné nezahŕňa vodné, stočné, dodávku elektrickej energie, dodávku tepla, ani žiadnych iných médií a ostatných služieb spojených s užívaním Predmetu nájmu (ďalej aj ako „</w:t>
      </w:r>
      <w:r w:rsidRPr="00462CEE">
        <w:rPr>
          <w:rFonts w:eastAsia="Times New Roman"/>
          <w:b/>
          <w:sz w:val="20"/>
        </w:rPr>
        <w:t>Médiá</w:t>
      </w:r>
      <w:r w:rsidRPr="00462CEE">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462CEE" w:rsidRDefault="00D618BC" w:rsidP="00D618BC">
      <w:pPr>
        <w:spacing w:line="240" w:lineRule="auto"/>
        <w:ind w:left="690" w:hanging="720"/>
        <w:jc w:val="both"/>
        <w:rPr>
          <w:rFonts w:eastAsia="Times New Roman"/>
          <w:sz w:val="20"/>
        </w:rPr>
      </w:pPr>
    </w:p>
    <w:p w14:paraId="3F52CA7A" w14:textId="2B7F3347" w:rsidR="00054C65" w:rsidRPr="00462CEE" w:rsidRDefault="00054C65" w:rsidP="00822D57">
      <w:pPr>
        <w:spacing w:line="240" w:lineRule="auto"/>
        <w:ind w:left="690" w:hanging="720"/>
        <w:jc w:val="both"/>
        <w:rPr>
          <w:sz w:val="20"/>
        </w:rPr>
      </w:pPr>
      <w:r w:rsidRPr="00462CEE">
        <w:rPr>
          <w:b/>
          <w:sz w:val="20"/>
        </w:rPr>
        <w:t>5.5</w:t>
      </w:r>
      <w:r w:rsidRPr="00462CEE">
        <w:rPr>
          <w:sz w:val="20"/>
        </w:rPr>
        <w:t xml:space="preserve">      </w:t>
      </w:r>
      <w:r w:rsidRPr="00462CEE">
        <w:rPr>
          <w:sz w:val="20"/>
        </w:rPr>
        <w:tab/>
      </w:r>
      <w:r w:rsidR="0082295C" w:rsidRPr="00462CEE">
        <w:rPr>
          <w:color w:val="000000" w:themeColor="text1"/>
          <w:sz w:val="20"/>
        </w:rPr>
        <w:t>Prenajímateľ je povinný každú faktúru doručiť Nájomcovi elektronicky prostredníctvom e-mailu                na adr</w:t>
      </w:r>
      <w:r w:rsidR="0082295C" w:rsidRPr="005E77A9">
        <w:rPr>
          <w:color w:val="000000" w:themeColor="text1"/>
          <w:sz w:val="20"/>
        </w:rPr>
        <w:t xml:space="preserve">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462CEE">
        <w:rPr>
          <w:sz w:val="20"/>
        </w:rPr>
        <w:t>K fakturovaným sumám podľa tejto Zmluvy sa pripočíta DPH podľa príslušných aktuálne platných všeobecne záväzných právnych predpisov Slovenskej republiky.</w:t>
      </w:r>
    </w:p>
    <w:p w14:paraId="0754C968" w14:textId="77777777" w:rsidR="0082295C" w:rsidRPr="00462CEE"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462CEE">
        <w:rPr>
          <w:b/>
          <w:sz w:val="20"/>
        </w:rPr>
        <w:t>5.6</w:t>
      </w:r>
      <w:r w:rsidRPr="00462CEE">
        <w:rPr>
          <w:sz w:val="20"/>
        </w:rPr>
        <w:t xml:space="preserve">     </w:t>
      </w:r>
      <w:r w:rsidRPr="00462CEE">
        <w:rPr>
          <w:sz w:val="20"/>
        </w:rPr>
        <w:tab/>
        <w:t xml:space="preserve">Zmluvné strany sa dohodli, že zaplatením, resp. úhradou akéhokoľvek peňažného plnenia sa pre účely </w:t>
      </w:r>
      <w:r w:rsidR="008702FA" w:rsidRPr="00462CEE">
        <w:rPr>
          <w:sz w:val="20"/>
        </w:rPr>
        <w:t xml:space="preserve">tejto </w:t>
      </w:r>
      <w:r w:rsidRPr="00462CEE">
        <w:rPr>
          <w:sz w:val="20"/>
        </w:rPr>
        <w:t>Zmluvy rozumie pripísanie dlžnej</w:t>
      </w:r>
      <w:r w:rsidRPr="005E77A9">
        <w:rPr>
          <w:sz w:val="20"/>
        </w:rPr>
        <w:t xml:space="preserve">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3EF46A33" w:rsidR="00DC09A4" w:rsidRPr="00462CEE" w:rsidRDefault="00054C65" w:rsidP="00822D57">
      <w:pPr>
        <w:pStyle w:val="Normlny10"/>
        <w:spacing w:line="240" w:lineRule="auto"/>
        <w:ind w:left="692" w:hanging="720"/>
        <w:jc w:val="both"/>
        <w:outlineLvl w:val="2"/>
        <w:rPr>
          <w:sz w:val="20"/>
          <w:szCs w:val="20"/>
        </w:rPr>
      </w:pPr>
      <w:r w:rsidRPr="00462CEE">
        <w:rPr>
          <w:b/>
          <w:sz w:val="20"/>
          <w:szCs w:val="20"/>
        </w:rPr>
        <w:t>5.7</w:t>
      </w:r>
      <w:r w:rsidRPr="00462CEE">
        <w:rPr>
          <w:sz w:val="20"/>
          <w:szCs w:val="20"/>
        </w:rPr>
        <w:t xml:space="preserve">   </w:t>
      </w:r>
      <w:r w:rsidRPr="00462CEE">
        <w:rPr>
          <w:sz w:val="20"/>
          <w:szCs w:val="20"/>
        </w:rPr>
        <w:tab/>
      </w:r>
      <w:r w:rsidR="00DC09A4" w:rsidRPr="00462CEE">
        <w:rPr>
          <w:sz w:val="20"/>
          <w:szCs w:val="20"/>
        </w:rPr>
        <w:t>Zmluvné strany sa dohodli, že Nájomca spolu s</w:t>
      </w:r>
      <w:r w:rsidR="00A7078C" w:rsidRPr="00462CEE">
        <w:rPr>
          <w:sz w:val="20"/>
          <w:szCs w:val="20"/>
        </w:rPr>
        <w:t xml:space="preserve"> prvou </w:t>
      </w:r>
      <w:r w:rsidR="00DC09A4" w:rsidRPr="00462CEE">
        <w:rPr>
          <w:sz w:val="20"/>
          <w:szCs w:val="20"/>
        </w:rPr>
        <w:t xml:space="preserve">úhradou Nájomného uhradí Prenajímateľovi kauciu vo výške </w:t>
      </w:r>
      <w:r w:rsidR="00462CEE" w:rsidRPr="00462CEE">
        <w:rPr>
          <w:sz w:val="20"/>
          <w:szCs w:val="20"/>
        </w:rPr>
        <w:t xml:space="preserve">trojmesačného </w:t>
      </w:r>
      <w:r w:rsidR="00DC09A4" w:rsidRPr="00462CEE">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462CEE">
        <w:rPr>
          <w:sz w:val="20"/>
          <w:szCs w:val="20"/>
        </w:rPr>
        <w:t>do pätnástich (15</w:t>
      </w:r>
      <w:r w:rsidR="00DC09A4" w:rsidRPr="00462CEE">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462CEE" w:rsidRDefault="00DC09A4" w:rsidP="00822D57">
      <w:pPr>
        <w:pStyle w:val="Normlny10"/>
        <w:spacing w:line="240" w:lineRule="auto"/>
        <w:ind w:left="692" w:hanging="720"/>
        <w:jc w:val="both"/>
        <w:outlineLvl w:val="2"/>
        <w:rPr>
          <w:sz w:val="20"/>
          <w:szCs w:val="20"/>
        </w:rPr>
      </w:pPr>
    </w:p>
    <w:p w14:paraId="6B8811FC" w14:textId="678A0126" w:rsidR="005B6F96" w:rsidRPr="00462CEE" w:rsidRDefault="00DC09A4" w:rsidP="00B60DB0">
      <w:pPr>
        <w:pStyle w:val="Normlny10"/>
        <w:spacing w:line="240" w:lineRule="auto"/>
        <w:ind w:left="692" w:hanging="692"/>
        <w:jc w:val="both"/>
        <w:outlineLvl w:val="2"/>
        <w:rPr>
          <w:sz w:val="20"/>
          <w:szCs w:val="20"/>
        </w:rPr>
      </w:pPr>
      <w:r w:rsidRPr="00462CEE">
        <w:rPr>
          <w:b/>
          <w:bCs/>
          <w:sz w:val="20"/>
          <w:szCs w:val="20"/>
        </w:rPr>
        <w:t>5.8</w:t>
      </w:r>
      <w:r w:rsidRPr="00462CEE">
        <w:rPr>
          <w:b/>
          <w:bCs/>
          <w:sz w:val="20"/>
          <w:szCs w:val="20"/>
        </w:rPr>
        <w:tab/>
      </w:r>
      <w:r w:rsidR="00A034EE" w:rsidRPr="00462CEE">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462CEE">
        <w:rPr>
          <w:sz w:val="20"/>
          <w:szCs w:val="20"/>
        </w:rPr>
        <w:t>.</w:t>
      </w:r>
    </w:p>
    <w:p w14:paraId="547898B3" w14:textId="77777777" w:rsidR="00822D57" w:rsidRPr="00462CEE" w:rsidRDefault="00822D57" w:rsidP="00822D57">
      <w:pPr>
        <w:pStyle w:val="Normlny10"/>
        <w:spacing w:line="240" w:lineRule="auto"/>
        <w:ind w:left="692" w:hanging="720"/>
        <w:jc w:val="both"/>
        <w:outlineLvl w:val="2"/>
        <w:rPr>
          <w:sz w:val="20"/>
          <w:szCs w:val="20"/>
        </w:rPr>
      </w:pPr>
    </w:p>
    <w:p w14:paraId="5E26D5D9" w14:textId="2653E6CC" w:rsidR="005B6F96" w:rsidRPr="00462CEE" w:rsidRDefault="00DC09A4" w:rsidP="00D566F9">
      <w:pPr>
        <w:pStyle w:val="Normlny10"/>
        <w:spacing w:line="240" w:lineRule="auto"/>
        <w:ind w:left="692" w:hanging="692"/>
        <w:jc w:val="both"/>
        <w:outlineLvl w:val="2"/>
        <w:rPr>
          <w:sz w:val="20"/>
          <w:szCs w:val="20"/>
        </w:rPr>
      </w:pPr>
      <w:bookmarkStart w:id="3" w:name="_Ref512354487"/>
      <w:r w:rsidRPr="00462CEE">
        <w:rPr>
          <w:b/>
          <w:bCs/>
          <w:sz w:val="20"/>
          <w:szCs w:val="20"/>
        </w:rPr>
        <w:t>5.9</w:t>
      </w:r>
      <w:r w:rsidRPr="00462CEE">
        <w:rPr>
          <w:b/>
          <w:bCs/>
          <w:sz w:val="20"/>
          <w:szCs w:val="20"/>
        </w:rPr>
        <w:tab/>
      </w:r>
      <w:r w:rsidR="005B6F96" w:rsidRPr="00462CEE">
        <w:rPr>
          <w:sz w:val="20"/>
          <w:szCs w:val="20"/>
        </w:rPr>
        <w:t xml:space="preserve">Prenajímateľ je oprávnený každoročne počas trvania tejto Zmluvy zabezpečiť vypracovanie znaleckého posudku na stanovenie všeobecnej hodnoty Nájomného za Predmet nájmu znalcom </w:t>
      </w:r>
      <w:r w:rsidR="005B6F96" w:rsidRPr="00462CEE">
        <w:rPr>
          <w:sz w:val="20"/>
          <w:szCs w:val="20"/>
        </w:rPr>
        <w:br/>
        <w:t xml:space="preserve">alebo znaleckou organizáciou určenou Prenajímateľom. Zmluvné strany sa dohodli, že v prípade </w:t>
      </w:r>
      <w:r w:rsidR="005B6F96" w:rsidRPr="00462CEE">
        <w:rPr>
          <w:sz w:val="20"/>
          <w:szCs w:val="20"/>
        </w:rPr>
        <w:br/>
        <w:t xml:space="preserve">ak všeobecná hodnota Nájmu za Predmet nájmu určená znaleckým posudkom bude vyššia </w:t>
      </w:r>
      <w:r w:rsidR="005B6F96" w:rsidRPr="00462CEE">
        <w:rPr>
          <w:sz w:val="20"/>
          <w:szCs w:val="20"/>
        </w:rPr>
        <w:br/>
        <w:t xml:space="preserve">než Nájomné platené za príslušný kalendárny rok zvýšené podľa bodu </w:t>
      </w:r>
      <w:r w:rsidRPr="00462CEE">
        <w:rPr>
          <w:sz w:val="20"/>
          <w:szCs w:val="20"/>
        </w:rPr>
        <w:t>5.8</w:t>
      </w:r>
      <w:r w:rsidR="005B6F96" w:rsidRPr="00462CEE">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462CEE">
        <w:rPr>
          <w:sz w:val="20"/>
          <w:szCs w:val="20"/>
        </w:rPr>
        <w:t>5.10</w:t>
      </w:r>
      <w:r w:rsidR="005B6F96" w:rsidRPr="00462CEE">
        <w:rPr>
          <w:sz w:val="20"/>
          <w:szCs w:val="20"/>
        </w:rPr>
        <w:t xml:space="preserve"> a v prípade, ak Nájomca neuplatnil svoje právo vypovedať túto Zmluvu podľa bodu </w:t>
      </w:r>
      <w:r w:rsidRPr="00462CEE">
        <w:rPr>
          <w:sz w:val="20"/>
          <w:szCs w:val="20"/>
        </w:rPr>
        <w:t>5.10</w:t>
      </w:r>
      <w:bookmarkEnd w:id="3"/>
      <w:r w:rsidR="00E00C86" w:rsidRPr="00462CEE">
        <w:rPr>
          <w:sz w:val="20"/>
          <w:szCs w:val="20"/>
        </w:rPr>
        <w:t>.</w:t>
      </w:r>
    </w:p>
    <w:p w14:paraId="1E157530" w14:textId="77777777" w:rsidR="00822D57" w:rsidRPr="00462CEE"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462CEE">
        <w:rPr>
          <w:b/>
          <w:bCs/>
          <w:sz w:val="20"/>
          <w:szCs w:val="20"/>
        </w:rPr>
        <w:t>5.10</w:t>
      </w:r>
      <w:r w:rsidRPr="00462CEE">
        <w:rPr>
          <w:b/>
          <w:bCs/>
          <w:sz w:val="20"/>
          <w:szCs w:val="20"/>
        </w:rPr>
        <w:tab/>
      </w:r>
      <w:r w:rsidR="005B6F96" w:rsidRPr="00462CEE">
        <w:rPr>
          <w:sz w:val="20"/>
          <w:szCs w:val="20"/>
        </w:rPr>
        <w:t xml:space="preserve">O úprave Nájomného podľa bodu </w:t>
      </w:r>
      <w:r w:rsidR="00326CE5" w:rsidRPr="00462CEE">
        <w:rPr>
          <w:sz w:val="20"/>
          <w:szCs w:val="20"/>
        </w:rPr>
        <w:t>5.9</w:t>
      </w:r>
      <w:r w:rsidR="005B6F96" w:rsidRPr="00462CEE">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462CEE">
        <w:rPr>
          <w:sz w:val="20"/>
          <w:szCs w:val="20"/>
        </w:rPr>
        <w:t>5.9</w:t>
      </w:r>
      <w:r w:rsidR="005B6F96" w:rsidRPr="00462CEE">
        <w:rPr>
          <w:sz w:val="20"/>
          <w:szCs w:val="20"/>
        </w:rPr>
        <w:t xml:space="preserve">, prípadne zvýšeného podľa bodu </w:t>
      </w:r>
      <w:r w:rsidR="00326CE5" w:rsidRPr="00462CEE">
        <w:rPr>
          <w:sz w:val="20"/>
          <w:szCs w:val="20"/>
        </w:rPr>
        <w:t>5.8</w:t>
      </w:r>
      <w:bookmarkEnd w:id="4"/>
      <w:r w:rsidR="00E00C86" w:rsidRPr="00462CEE">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lastRenderedPageBreak/>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46A1DC2A" w:rsidR="004A49E0" w:rsidRPr="005E77A9" w:rsidRDefault="00462CEE" w:rsidP="00F05409">
            <w:pPr>
              <w:pStyle w:val="Normlny10"/>
              <w:spacing w:line="240" w:lineRule="auto"/>
              <w:ind w:left="100" w:right="240"/>
              <w:jc w:val="center"/>
              <w:outlineLvl w:val="2"/>
              <w:rPr>
                <w:color w:val="000000" w:themeColor="text1"/>
                <w:sz w:val="20"/>
                <w:szCs w:val="20"/>
              </w:rPr>
            </w:pPr>
            <w:r>
              <w:rPr>
                <w:rFonts w:eastAsia="Arial Unicode MS"/>
                <w:sz w:val="20"/>
                <w:szCs w:val="20"/>
              </w:rPr>
              <w:t>6,60</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77777777" w:rsidR="004A49E0" w:rsidRPr="005E77A9" w:rsidRDefault="004A49E0"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10487558"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001E88">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001E88">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lastRenderedPageBreak/>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387AA57F"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 xml:space="preserve">„zákon o bezpečnosti a ochrane zdravia pri </w:t>
      </w:r>
      <w:r w:rsidRPr="005E77A9">
        <w:rPr>
          <w:b/>
          <w:sz w:val="20"/>
        </w:rPr>
        <w:lastRenderedPageBreak/>
        <w:t>práci“</w:t>
      </w:r>
      <w:r w:rsidRPr="005E77A9">
        <w:rPr>
          <w:sz w:val="20"/>
        </w:rPr>
        <w:t>) a všetkých platných právnych noriem týkajúcich</w:t>
      </w:r>
      <w:r w:rsidR="00F81B37" w:rsidRPr="005E77A9">
        <w:rPr>
          <w:sz w:val="20"/>
        </w:rPr>
        <w:t xml:space="preserve"> </w:t>
      </w:r>
      <w:r w:rsidRPr="005E77A9">
        <w:rPr>
          <w:sz w:val="20"/>
        </w:rPr>
        <w:t>sa bezpečnosti 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097A1E4D"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09438A75" w:rsidR="007F4454" w:rsidRPr="003B224F" w:rsidRDefault="007F4454" w:rsidP="007F4454">
      <w:pPr>
        <w:spacing w:after="120"/>
        <w:ind w:left="709" w:hanging="709"/>
        <w:jc w:val="both"/>
        <w:rPr>
          <w:bCs/>
          <w:color w:val="000000" w:themeColor="text1"/>
          <w:sz w:val="20"/>
        </w:rPr>
      </w:pPr>
      <w:r w:rsidRPr="003B224F">
        <w:rPr>
          <w:b/>
          <w:color w:val="000000" w:themeColor="text1"/>
          <w:sz w:val="20"/>
        </w:rPr>
        <w:lastRenderedPageBreak/>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w:t>
      </w:r>
      <w:r w:rsidRPr="00001E88">
        <w:rPr>
          <w:bCs/>
          <w:color w:val="000000" w:themeColor="text1"/>
          <w:sz w:val="20"/>
        </w:rPr>
        <w:t xml:space="preserve">Nájomného, </w:t>
      </w:r>
      <w:r w:rsidRPr="003B224F">
        <w:rPr>
          <w:bCs/>
          <w:color w:val="000000" w:themeColor="text1"/>
          <w:sz w:val="20"/>
        </w:rPr>
        <w:t>a to za celú skutočnú dobu užívania Predmetu nájmu Nájomcom.</w:t>
      </w:r>
    </w:p>
    <w:p w14:paraId="5BAED29C" w14:textId="121BA897"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Pr="00001E88">
        <w:rPr>
          <w:bCs/>
          <w:color w:val="000000" w:themeColor="text1"/>
          <w:sz w:val="20"/>
        </w:rPr>
        <w:t>. te</w:t>
      </w:r>
      <w:r w:rsidRPr="003B224F">
        <w:rPr>
          <w:bCs/>
          <w:color w:val="000000" w:themeColor="text1"/>
          <w:sz w:val="20"/>
        </w:rPr>
        <w:t>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001E88" w:rsidRPr="00001E88">
        <w:rPr>
          <w:rFonts w:eastAsia="Arial Unicode MS"/>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5CD29871" w14:textId="77777777" w:rsidR="007F4454" w:rsidRDefault="007F4454" w:rsidP="007F4454">
      <w:pPr>
        <w:spacing w:line="233" w:lineRule="auto"/>
        <w:ind w:left="690" w:hanging="720"/>
        <w:jc w:val="both"/>
        <w:rPr>
          <w:sz w:val="20"/>
        </w:rPr>
      </w:pPr>
      <w:r>
        <w:rPr>
          <w:sz w:val="20"/>
        </w:rPr>
        <w:t xml:space="preserve">             </w:t>
      </w:r>
    </w:p>
    <w:p w14:paraId="2D5348E8" w14:textId="77777777" w:rsidR="007F4454" w:rsidRDefault="007F4454" w:rsidP="007F4454">
      <w:pPr>
        <w:spacing w:line="233" w:lineRule="auto"/>
        <w:ind w:left="690" w:hanging="720"/>
        <w:jc w:val="both"/>
        <w:rPr>
          <w:sz w:val="20"/>
        </w:rPr>
      </w:pPr>
      <w:r w:rsidRPr="00001E88">
        <w:rPr>
          <w:b/>
          <w:sz w:val="20"/>
        </w:rPr>
        <w:t>10.6</w:t>
      </w:r>
      <w:r w:rsidRPr="00001E88">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20% z jednej dvanástiny ročného Nájomného dohodnutého v článku 5. tejto Zmluvy </w:t>
      </w:r>
      <w:r w:rsidRPr="00001E88">
        <w:rPr>
          <w:bCs/>
          <w:color w:val="000000" w:themeColor="text1"/>
          <w:sz w:val="20"/>
        </w:rPr>
        <w:t>za každý aj len začatý kalendárny mesiac omeškania Nájomcu</w:t>
      </w:r>
      <w:r w:rsidRPr="00001E88">
        <w:rPr>
          <w:sz w:val="20"/>
        </w:rPr>
        <w:t xml:space="preserve"> s vyprataním Predmetu nájmu a jeho vrátením Prenajímateľovi.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lastRenderedPageBreak/>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302BBA4B"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w:t>
      </w:r>
      <w:r w:rsidR="00001E88">
        <w:rPr>
          <w:sz w:val="20"/>
        </w:rPr>
        <w:t xml:space="preserve"> </w:t>
      </w:r>
      <w:r w:rsidR="005926CE" w:rsidRPr="00760951">
        <w:rPr>
          <w:sz w:val="20"/>
        </w:rPr>
        <w:t>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lastRenderedPageBreak/>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5CD43ED8" w14:textId="77777777" w:rsidR="00001E88" w:rsidRPr="005E77A9" w:rsidRDefault="00A11EDB" w:rsidP="00001E88">
      <w:pPr>
        <w:spacing w:line="240" w:lineRule="auto"/>
        <w:ind w:left="1530" w:hanging="840"/>
        <w:jc w:val="both"/>
        <w:rPr>
          <w:sz w:val="20"/>
        </w:rPr>
      </w:pPr>
      <w:r w:rsidRPr="005E77A9">
        <w:rPr>
          <w:sz w:val="20"/>
        </w:rPr>
        <w:tab/>
      </w:r>
      <w:r w:rsidRPr="005E77A9">
        <w:rPr>
          <w:sz w:val="20"/>
        </w:rPr>
        <w:tab/>
      </w:r>
      <w:r w:rsidR="00001E88" w:rsidRPr="005E77A9">
        <w:rPr>
          <w:sz w:val="20"/>
          <w:u w:val="single"/>
        </w:rPr>
        <w:t>Kontaktná osoba za Prenajímateľa</w:t>
      </w:r>
      <w:r w:rsidR="00001E88" w:rsidRPr="005E77A9">
        <w:rPr>
          <w:sz w:val="20"/>
        </w:rPr>
        <w:t>:</w:t>
      </w:r>
    </w:p>
    <w:p w14:paraId="557BCF8A" w14:textId="77777777" w:rsidR="00001E88" w:rsidRPr="005E77A9" w:rsidRDefault="00001E88" w:rsidP="00001E88">
      <w:pPr>
        <w:spacing w:line="240" w:lineRule="auto"/>
        <w:ind w:left="1530" w:hanging="840"/>
        <w:jc w:val="both"/>
        <w:rPr>
          <w:sz w:val="20"/>
        </w:rPr>
      </w:pPr>
    </w:p>
    <w:p w14:paraId="09D5D0A1" w14:textId="77777777" w:rsidR="00001E88" w:rsidRPr="00211227" w:rsidRDefault="00001E88" w:rsidP="00001E88">
      <w:pPr>
        <w:spacing w:line="240" w:lineRule="auto"/>
        <w:ind w:left="2127" w:hanging="1437"/>
        <w:jc w:val="both"/>
        <w:rPr>
          <w:sz w:val="20"/>
        </w:rPr>
      </w:pPr>
      <w:r w:rsidRPr="005E77A9">
        <w:rPr>
          <w:sz w:val="20"/>
        </w:rPr>
        <w:tab/>
      </w:r>
      <w:r w:rsidRPr="00211227">
        <w:rPr>
          <w:sz w:val="20"/>
        </w:rPr>
        <w:t>meno a priezvisko:</w:t>
      </w:r>
      <w:r w:rsidRPr="00211227">
        <w:rPr>
          <w:sz w:val="20"/>
        </w:rPr>
        <w:tab/>
      </w:r>
      <w:r>
        <w:rPr>
          <w:sz w:val="20"/>
        </w:rPr>
        <w:t>Mgr. Adam Papp</w:t>
      </w:r>
    </w:p>
    <w:p w14:paraId="6AB16EC0" w14:textId="77777777" w:rsidR="00001E88" w:rsidRPr="00211227" w:rsidRDefault="00001E88" w:rsidP="00001E88">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adam</w:t>
      </w:r>
      <w:r w:rsidRPr="00211227">
        <w:rPr>
          <w:rFonts w:eastAsia="Arial Unicode MS"/>
          <w:sz w:val="20"/>
        </w:rPr>
        <w:t>.</w:t>
      </w:r>
      <w:r>
        <w:rPr>
          <w:rFonts w:eastAsia="Arial Unicode MS"/>
          <w:sz w:val="20"/>
        </w:rPr>
        <w:t>papp</w:t>
      </w:r>
      <w:r w:rsidRPr="00211227">
        <w:rPr>
          <w:rFonts w:eastAsia="Arial Unicode MS"/>
          <w:sz w:val="20"/>
        </w:rPr>
        <w:t>@vpas.sk</w:t>
      </w:r>
    </w:p>
    <w:p w14:paraId="33F2B9C8" w14:textId="77777777" w:rsidR="00001E88" w:rsidRDefault="00001E88" w:rsidP="00001E88">
      <w:pPr>
        <w:spacing w:line="240"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w:t>
      </w:r>
      <w:r>
        <w:rPr>
          <w:rFonts w:eastAsia="Arial Unicode MS"/>
          <w:sz w:val="20"/>
        </w:rPr>
        <w:t>11</w:t>
      </w:r>
      <w:r w:rsidRPr="00211227">
        <w:rPr>
          <w:rFonts w:eastAsia="Arial Unicode MS"/>
          <w:sz w:val="20"/>
        </w:rPr>
        <w:t> 3</w:t>
      </w:r>
      <w:r>
        <w:rPr>
          <w:rFonts w:eastAsia="Arial Unicode MS"/>
          <w:sz w:val="20"/>
        </w:rPr>
        <w:t>68 640</w:t>
      </w:r>
    </w:p>
    <w:p w14:paraId="01CDF511" w14:textId="77777777" w:rsidR="00001E88" w:rsidRDefault="00001E88" w:rsidP="00001E88">
      <w:pPr>
        <w:spacing w:line="240" w:lineRule="auto"/>
        <w:ind w:left="1531" w:hanging="839"/>
        <w:jc w:val="both"/>
        <w:rPr>
          <w:rFonts w:eastAsia="Arial Unicode MS"/>
          <w:sz w:val="20"/>
        </w:rPr>
      </w:pPr>
    </w:p>
    <w:p w14:paraId="553F449F" w14:textId="77777777" w:rsidR="00001E88" w:rsidRPr="005E77A9" w:rsidRDefault="00001E88" w:rsidP="00001E88">
      <w:pPr>
        <w:spacing w:line="240" w:lineRule="auto"/>
        <w:ind w:left="1530" w:firstLine="630"/>
        <w:jc w:val="both"/>
        <w:rPr>
          <w:sz w:val="20"/>
          <w:u w:val="single"/>
        </w:rPr>
      </w:pPr>
      <w:r w:rsidRPr="005E77A9">
        <w:rPr>
          <w:sz w:val="20"/>
          <w:u w:val="single"/>
        </w:rPr>
        <w:t>Kontaktná osoba za Nájomcu:</w:t>
      </w:r>
    </w:p>
    <w:p w14:paraId="7738717C" w14:textId="77777777" w:rsidR="00001E88" w:rsidRPr="005E77A9" w:rsidRDefault="00001E88" w:rsidP="00001E88">
      <w:pPr>
        <w:spacing w:line="240" w:lineRule="auto"/>
        <w:ind w:left="1530" w:hanging="840"/>
        <w:jc w:val="both"/>
        <w:rPr>
          <w:sz w:val="20"/>
          <w:u w:val="single"/>
        </w:rPr>
      </w:pPr>
    </w:p>
    <w:p w14:paraId="4B669E34" w14:textId="77777777" w:rsidR="00001E88" w:rsidRPr="005E77A9" w:rsidRDefault="00001E88" w:rsidP="00001E88">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3AD009FB" w14:textId="77777777" w:rsidR="00001E88" w:rsidRPr="005E77A9" w:rsidRDefault="00001E88" w:rsidP="00001E88">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5A1BBAE6" w14:textId="77777777" w:rsidR="00001E88" w:rsidRPr="005E77A9" w:rsidRDefault="00001E88" w:rsidP="00001E88">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4DDE5CA" w:rsidR="00A11EDB" w:rsidRPr="005E77A9" w:rsidRDefault="00A11EDB" w:rsidP="00001E88">
      <w:pPr>
        <w:spacing w:line="233" w:lineRule="auto"/>
        <w:ind w:left="1530" w:hanging="840"/>
        <w:jc w:val="both"/>
        <w:rPr>
          <w:sz w:val="20"/>
        </w:rPr>
      </w:pP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 xml:space="preserve">a udelením súhlasu Ministerstva dopravy Slovenskej republiky. Táto Zmluva nadobudne účinnosť dňom nasledujúcim po dni jej zverejnenia v Centrálnom registri zmlúv vedenom </w:t>
      </w:r>
      <w:r w:rsidRPr="00A00E2D">
        <w:rPr>
          <w:sz w:val="20"/>
        </w:rPr>
        <w:lastRenderedPageBreak/>
        <w:t>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430633FF"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462CEE" w:rsidRPr="00462CEE">
        <w:rPr>
          <w:rFonts w:ascii="Arial" w:hAnsi="Arial" w:cs="Arial"/>
          <w:sz w:val="20"/>
          <w:szCs w:val="20"/>
        </w:rPr>
        <w:t>Grafické znázornenie Predmetu nájmu</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4D44B3A7" w:rsidR="002F746F" w:rsidRPr="002F746F" w:rsidRDefault="00A06A12" w:rsidP="00BA5D5F">
            <w:pPr>
              <w:pStyle w:val="Normlny10"/>
              <w:ind w:left="100"/>
              <w:jc w:val="both"/>
              <w:rPr>
                <w:b/>
                <w:bCs/>
                <w:color w:val="000000" w:themeColor="text1"/>
                <w:sz w:val="20"/>
              </w:rPr>
            </w:pPr>
            <w:r>
              <w:rPr>
                <w:b/>
                <w:bCs/>
                <w:color w:val="000000" w:themeColor="text1"/>
                <w:sz w:val="20"/>
              </w:rPr>
              <w:t>Ing. Ladislav Bariak</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462CEE">
      <w:footerReference w:type="default" r:id="rId9"/>
      <w:pgSz w:w="12240" w:h="15840"/>
      <w:pgMar w:top="1440" w:right="90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8449" w14:textId="77777777" w:rsidR="0047103E" w:rsidRDefault="0047103E">
      <w:pPr>
        <w:spacing w:line="240" w:lineRule="auto"/>
      </w:pPr>
      <w:r>
        <w:separator/>
      </w:r>
    </w:p>
  </w:endnote>
  <w:endnote w:type="continuationSeparator" w:id="0">
    <w:p w14:paraId="5ADEE466" w14:textId="77777777" w:rsidR="0047103E" w:rsidRDefault="00471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B7B58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A06A12">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25C1" w14:textId="77777777" w:rsidR="0047103E" w:rsidRDefault="0047103E">
      <w:pPr>
        <w:spacing w:line="240" w:lineRule="auto"/>
      </w:pPr>
      <w:r>
        <w:separator/>
      </w:r>
    </w:p>
  </w:footnote>
  <w:footnote w:type="continuationSeparator" w:id="0">
    <w:p w14:paraId="27AC8821" w14:textId="77777777" w:rsidR="0047103E" w:rsidRDefault="004710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01E88"/>
    <w:rsid w:val="0001323F"/>
    <w:rsid w:val="00013672"/>
    <w:rsid w:val="000169E5"/>
    <w:rsid w:val="00022A9F"/>
    <w:rsid w:val="00023B9D"/>
    <w:rsid w:val="00023CF1"/>
    <w:rsid w:val="000240D6"/>
    <w:rsid w:val="00031AE8"/>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2CEE"/>
    <w:rsid w:val="00463BE1"/>
    <w:rsid w:val="00465816"/>
    <w:rsid w:val="0047103E"/>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87EB2"/>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6072</Words>
  <Characters>34617</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2023-10-18T08:46:00Z</dcterms:created>
  <dcterms:modified xsi:type="dcterms:W3CDTF">2023-10-18T08:46:00Z</dcterms:modified>
  <cp:contentStatus/>
</cp:coreProperties>
</file>