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3569C6FC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 w:rsidRPr="0087082E">
        <w:rPr>
          <w:rFonts w:ascii="Arial" w:hAnsi="Arial" w:cs="Arial"/>
          <w:b/>
          <w:bCs/>
          <w:sz w:val="20"/>
        </w:rPr>
        <w:fldChar w:fldCharType="begin"/>
      </w:r>
      <w:r w:rsidR="00BB446D" w:rsidRPr="0087082E">
        <w:rPr>
          <w:rFonts w:ascii="Arial" w:hAnsi="Arial" w:cs="Arial"/>
          <w:b/>
          <w:bCs/>
          <w:sz w:val="20"/>
        </w:rPr>
        <w:instrText xml:space="preserve"> DOCPROPERTY  ObstaravatelNazov  \* MERGEFORMAT </w:instrText>
      </w:r>
      <w:r w:rsidR="00BB446D" w:rsidRPr="0087082E">
        <w:rPr>
          <w:rFonts w:ascii="Arial" w:hAnsi="Arial" w:cs="Arial"/>
          <w:b/>
          <w:bCs/>
          <w:sz w:val="20"/>
        </w:rPr>
        <w:fldChar w:fldCharType="separate"/>
      </w:r>
      <w:r w:rsidR="0087082E">
        <w:rPr>
          <w:rFonts w:ascii="Arial" w:hAnsi="Arial" w:cs="Arial"/>
          <w:b/>
          <w:bCs/>
          <w:sz w:val="20"/>
        </w:rPr>
        <w:t>AGRO-RACIO s.r.o.</w:t>
      </w:r>
      <w:r w:rsidR="00BB446D" w:rsidRPr="0087082E">
        <w:rPr>
          <w:rFonts w:ascii="Arial" w:hAnsi="Arial" w:cs="Arial"/>
          <w:b/>
          <w:bCs/>
          <w:sz w:val="20"/>
        </w:rPr>
        <w:fldChar w:fldCharType="end"/>
      </w:r>
    </w:p>
    <w:p w14:paraId="63015752" w14:textId="11CCB147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Svätý Kríž 100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36388378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Svätý Kríž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5B441947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Ing. Ľubomír Rakyta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731BB5FE" w14:textId="2156F695" w:rsidR="00FB167B" w:rsidRPr="00F65CAC" w:rsidRDefault="00FB167B" w:rsidP="00992CA4">
      <w:pPr>
        <w:tabs>
          <w:tab w:val="left" w:pos="198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B167B">
        <w:rPr>
          <w:rFonts w:ascii="Arial" w:hAnsi="Arial" w:cs="Arial"/>
          <w:sz w:val="20"/>
        </w:rPr>
        <w:t>Peter Mäsiar</w:t>
      </w:r>
      <w:r>
        <w:rPr>
          <w:rFonts w:ascii="Arial" w:hAnsi="Arial" w:cs="Arial"/>
          <w:sz w:val="20"/>
        </w:rPr>
        <w:t xml:space="preserve"> - konateľ</w:t>
      </w:r>
    </w:p>
    <w:p w14:paraId="54394733" w14:textId="08867BBB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36388378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4264A598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2020126790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4B4714EA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2020126790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3E19D57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496001" w:rsidRPr="00496001">
        <w:rPr>
          <w:rFonts w:ascii="Arial" w:hAnsi="Arial" w:cs="Arial"/>
          <w:sz w:val="20"/>
        </w:rPr>
        <w:t>SK27 0200 0000 0047 7078 6351</w:t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7418F7A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87082E">
        <w:rPr>
          <w:rFonts w:ascii="Arial" w:hAnsi="Arial" w:cs="Arial"/>
          <w:b/>
          <w:bCs/>
          <w:sz w:val="20"/>
          <w:szCs w:val="20"/>
        </w:rPr>
        <w:t>Investície do špeciálnej rastlinnej výroby spoločnosti AGRO-RACIO s.r.o.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24267712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 xml:space="preserve">do </w:t>
      </w:r>
      <w:r w:rsidR="00496001">
        <w:rPr>
          <w:rFonts w:ascii="Arial" w:hAnsi="Arial" w:cs="Arial"/>
          <w:sz w:val="20"/>
        </w:rPr>
        <w:t>6</w:t>
      </w:r>
      <w:r w:rsidR="0087082E">
        <w:rPr>
          <w:rFonts w:ascii="Arial" w:hAnsi="Arial" w:cs="Arial"/>
          <w:sz w:val="20"/>
        </w:rPr>
        <w:t xml:space="preserve">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  <w:r w:rsidR="0087082E" w:rsidRPr="0087082E">
        <w:rPr>
          <w:rFonts w:ascii="Arial" w:hAnsi="Arial" w:cs="Arial"/>
          <w:sz w:val="20"/>
        </w:rPr>
        <w:t xml:space="preserve">Predmet zmluvy je možné objednávať aj po jednotlivých častiach (zariadeniach). Vtedy platí termín plnenia predmetu zmluvy (lehota dodania) </w:t>
      </w:r>
      <w:r w:rsidR="0087082E">
        <w:rPr>
          <w:rFonts w:ascii="Arial" w:hAnsi="Arial" w:cs="Arial"/>
          <w:sz w:val="20"/>
        </w:rPr>
        <w:fldChar w:fldCharType="begin"/>
      </w:r>
      <w:r w:rsidR="0087082E">
        <w:rPr>
          <w:rFonts w:ascii="Arial" w:hAnsi="Arial" w:cs="Arial"/>
          <w:sz w:val="20"/>
        </w:rPr>
        <w:instrText xml:space="preserve"> DOCPROPERTY  TerminDodania  \* MERGEFORMAT </w:instrText>
      </w:r>
      <w:r w:rsidR="0087082E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do 3 mesiacov odo dňa doručenia záväznej objednávky na dodanie predmetu zmluvy</w:t>
      </w:r>
      <w:r w:rsidR="0087082E">
        <w:rPr>
          <w:rFonts w:ascii="Arial" w:hAnsi="Arial" w:cs="Arial"/>
          <w:sz w:val="20"/>
        </w:rPr>
        <w:fldChar w:fldCharType="end"/>
      </w:r>
      <w:r w:rsidR="0087082E" w:rsidRPr="0087082E">
        <w:rPr>
          <w:rFonts w:ascii="Arial" w:hAnsi="Arial" w:cs="Arial"/>
          <w:sz w:val="20"/>
        </w:rPr>
        <w:t xml:space="preserve"> na každú objednávanú časť (zariadenie) samostatne.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50C8405C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Svätý Kríž 100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032 11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87082E">
        <w:rPr>
          <w:rFonts w:ascii="Arial" w:hAnsi="Arial" w:cs="Arial"/>
          <w:sz w:val="20"/>
        </w:rPr>
        <w:t>Svätý Kríž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6F3C12CF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082E">
              <w:rPr>
                <w:rFonts w:ascii="Arial" w:hAnsi="Arial" w:cs="Arial"/>
                <w:sz w:val="20"/>
                <w:szCs w:val="20"/>
              </w:rPr>
              <w:t xml:space="preserve">Sejačka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1BEE068D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082E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4979FF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B264D6B" w14:textId="1F095564" w:rsidR="008E4C25" w:rsidRDefault="0061641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082E">
              <w:rPr>
                <w:rFonts w:ascii="Arial" w:hAnsi="Arial" w:cs="Arial"/>
                <w:sz w:val="20"/>
                <w:szCs w:val="20"/>
              </w:rPr>
              <w:t>Mobilné zariadenie na prípravu postrekov a čistenie obalov z použitých koncentrovaných prípravkov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774EBE4" w14:textId="3EBEAFB2" w:rsidR="008E4C25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082E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0B8A8ADC" w14:textId="190B1FD0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FDC527" w14:textId="7BD0EC6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8161F5" w14:textId="53E7B9D4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589B0887" w:rsidR="00C142C4" w:rsidRPr="000955A7" w:rsidRDefault="00C875E4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75E4">
        <w:rPr>
          <w:rFonts w:ascii="Arial" w:hAnsi="Arial" w:cs="Arial"/>
          <w:sz w:val="20"/>
        </w:rPr>
        <w:t xml:space="preserve">Cena je splatná po prevzatí predmetu zmluvy na základe faktúry predávajúceho. Kupujúci poskytne predávajúcemu po vystavení záväznej objednávky zálohovú platbu maximálne do výšky 60% z ceny predmetu zákazky, ak o to predávajúci požiada. 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6F96A2C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</w:t>
      </w:r>
      <w:r w:rsidR="0092030C" w:rsidRPr="0092030C">
        <w:rPr>
          <w:rFonts w:ascii="Arial" w:hAnsi="Arial" w:cs="Arial"/>
          <w:sz w:val="20"/>
        </w:rPr>
        <w:t>0,05 % z celkovej kúpnej ceny bez DPH za každý deň omeškania</w:t>
      </w:r>
      <w:r w:rsidRPr="00C80BE5">
        <w:rPr>
          <w:rFonts w:ascii="Arial" w:hAnsi="Arial" w:cs="Arial"/>
          <w:sz w:val="20"/>
        </w:rPr>
        <w:t xml:space="preserve">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4ECFE7AF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</w:t>
      </w:r>
      <w:r w:rsidR="0092030C" w:rsidRPr="0092030C">
        <w:t xml:space="preserve"> </w:t>
      </w:r>
      <w:r w:rsidR="0092030C" w:rsidRPr="0092030C">
        <w:rPr>
          <w:rFonts w:ascii="Arial" w:hAnsi="Arial" w:cs="Arial"/>
          <w:color w:val="000000" w:themeColor="text1"/>
          <w:sz w:val="20"/>
        </w:rPr>
        <w:t>podľa všeobecných obchodných a servisných podmienok predávajúceho</w:t>
      </w:r>
      <w:r w:rsidRPr="000955A7">
        <w:rPr>
          <w:rFonts w:ascii="Arial" w:hAnsi="Arial" w:cs="Arial"/>
          <w:color w:val="000000" w:themeColor="text1"/>
          <w:sz w:val="20"/>
        </w:rPr>
        <w:t>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32220D7D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Táto kúpna zmluva nadobúda platnosť dňom jej podpisu oboma zmluvnými stranami a účinnosť dňom </w:t>
      </w:r>
      <w:r w:rsidR="00710EE6" w:rsidRPr="00710EE6">
        <w:rPr>
          <w:rFonts w:ascii="Arial" w:hAnsi="Arial" w:cs="Arial"/>
          <w:sz w:val="20"/>
        </w:rPr>
        <w:t>doručenia záväznej objednávky</w:t>
      </w:r>
      <w:r w:rsidRPr="00C80BE5">
        <w:rPr>
          <w:rFonts w:ascii="Arial" w:hAnsi="Arial" w:cs="Arial"/>
          <w:sz w:val="20"/>
        </w:rPr>
        <w:t xml:space="preserve"> </w:t>
      </w:r>
      <w:r w:rsidR="00710EE6">
        <w:rPr>
          <w:rFonts w:ascii="Arial" w:hAnsi="Arial" w:cs="Arial"/>
          <w:sz w:val="20"/>
        </w:rPr>
        <w:t>predávajúcemu</w:t>
      </w:r>
      <w:r w:rsidRPr="00C80BE5">
        <w:rPr>
          <w:rFonts w:ascii="Arial" w:hAnsi="Arial" w:cs="Arial"/>
          <w:sz w:val="20"/>
        </w:rPr>
        <w:t>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210445A1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87082E">
        <w:rPr>
          <w:rFonts w:ascii="Arial" w:hAnsi="Arial" w:cs="Arial"/>
          <w:sz w:val="20"/>
          <w:szCs w:val="20"/>
        </w:rPr>
        <w:t>Ing. Ľubomír Rakyta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0148DA34" w:rsidR="00C142C4" w:rsidRDefault="00C80BE5" w:rsidP="00DF27E4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87082E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1E595D70" w14:textId="77777777" w:rsidR="00FB167B" w:rsidRDefault="00FB167B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627A7E26" w14:textId="77777777" w:rsidR="00FB167B" w:rsidRDefault="00FB167B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4462FDB7" w14:textId="25E88D9A" w:rsidR="00FB167B" w:rsidRPr="00FB167B" w:rsidRDefault="00FB167B" w:rsidP="00FB167B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>..............................................</w:t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</w:p>
    <w:p w14:paraId="7EF8F36E" w14:textId="62CAA830" w:rsidR="00FB167B" w:rsidRPr="00FB167B" w:rsidRDefault="00FB167B" w:rsidP="00FB167B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>Peter Mäsiar</w:t>
      </w:r>
    </w:p>
    <w:p w14:paraId="76C500F2" w14:textId="2F9FB168" w:rsidR="00FB167B" w:rsidRPr="00FB167B" w:rsidRDefault="00FB167B" w:rsidP="00FB167B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  <w:r w:rsidRPr="00FB167B">
        <w:rPr>
          <w:rFonts w:ascii="Arial" w:hAnsi="Arial" w:cs="Arial"/>
          <w:bCs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ab/>
        <w:t>konateľ</w:t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496001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10EE6"/>
    <w:rsid w:val="00782858"/>
    <w:rsid w:val="007C08AD"/>
    <w:rsid w:val="007F2E64"/>
    <w:rsid w:val="00863E7F"/>
    <w:rsid w:val="00866553"/>
    <w:rsid w:val="0087082E"/>
    <w:rsid w:val="008E1A4F"/>
    <w:rsid w:val="008E4C25"/>
    <w:rsid w:val="0092030C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875E4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B167B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1617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15</cp:revision>
  <cp:lastPrinted>2019-02-06T16:14:00Z</cp:lastPrinted>
  <dcterms:created xsi:type="dcterms:W3CDTF">2022-07-26T08:05:00Z</dcterms:created>
  <dcterms:modified xsi:type="dcterms:W3CDTF">2023-11-27T15:32:00Z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\\10.0.0.17\ZoNFP\2022 PPA 52 Polnohospodari\Agro racio\SRV\VO\VARIABLES_PPA_VO.xlsx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AGRO-RACIO s.r.o.</vt:lpwstr>
  </property>
  <property fmtid="{D5CDD505-2E9C-101B-9397-08002B2CF9AE}" pid="15" name="ObstaravatelUlicaCislo">
    <vt:lpwstr>Svätý Kríž 100</vt:lpwstr>
  </property>
  <property fmtid="{D5CDD505-2E9C-101B-9397-08002B2CF9AE}" pid="16" name="ObstaravatelMesto">
    <vt:lpwstr>Svätý Kríž</vt:lpwstr>
  </property>
  <property fmtid="{D5CDD505-2E9C-101B-9397-08002B2CF9AE}" pid="17" name="ObstaravatelPSC">
    <vt:lpwstr>032 11</vt:lpwstr>
  </property>
  <property fmtid="{D5CDD505-2E9C-101B-9397-08002B2CF9AE}" pid="18" name="ObstaravatelICO">
    <vt:lpwstr>36388378</vt:lpwstr>
  </property>
  <property fmtid="{D5CDD505-2E9C-101B-9397-08002B2CF9AE}" pid="19" name="ObstaravatelDIC">
    <vt:lpwstr>2020126790</vt:lpwstr>
  </property>
  <property fmtid="{D5CDD505-2E9C-101B-9397-08002B2CF9AE}" pid="20" name="StatutarnyOrgan">
    <vt:lpwstr>Ing. Ľubomír Rakyta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Investície do špeciálnej rastlinnej výroby spoločnosti AGRO-RACIO s.r.o.</vt:lpwstr>
  </property>
  <property fmtid="{D5CDD505-2E9C-101B-9397-08002B2CF9AE}" pid="23" name="NazovProjektu">
    <vt:lpwstr>Investície do špeciálnej rastlinnej výroby spoločnosti AGRO-RACIO s.r.o.</vt:lpwstr>
  </property>
  <property fmtid="{D5CDD505-2E9C-101B-9397-08002B2CF9AE}" pid="24" name="PredmetZakazky1">
    <vt:lpwstr>Sejačka </vt:lpwstr>
  </property>
  <property fmtid="{D5CDD505-2E9C-101B-9397-08002B2CF9AE}" pid="25" name="PredmetZakazky2">
    <vt:lpwstr>Mobilné zariadenie na prípravu postrekov a čistenie obalov z použitých koncentrovaných prípravkov</vt:lpwstr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6.3.2023 do 10:00 h</vt:lpwstr>
  </property>
  <property fmtid="{D5CDD505-2E9C-101B-9397-08002B2CF9AE}" pid="30" name="DatumOtvaraniaAVyhodnoteniaPonuk">
    <vt:lpwstr>6.3.2023 o 11:00 h</vt:lpwstr>
  </property>
  <property fmtid="{D5CDD505-2E9C-101B-9397-08002B2CF9AE}" pid="31" name="DatumPodpisuVyzva">
    <vt:lpwstr>25.2.2023</vt:lpwstr>
  </property>
  <property fmtid="{D5CDD505-2E9C-101B-9397-08002B2CF9AE}" pid="32" name="DatumPodpisuZaznam">
    <vt:lpwstr>6.3.2023</vt:lpwstr>
  </property>
  <property fmtid="{D5CDD505-2E9C-101B-9397-08002B2CF9AE}" pid="33" name="DatumPodpisuSplnomocnenie">
    <vt:lpwstr>07.06.2022</vt:lpwstr>
  </property>
  <property fmtid="{D5CDD505-2E9C-101B-9397-08002B2CF9AE}" pid="34" name="KodProjektu">
    <vt:lpwstr>041ZA520392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Svätý Kríž 100</vt:lpwstr>
  </property>
  <property fmtid="{D5CDD505-2E9C-101B-9397-08002B2CF9AE}" pid="41" name="MiestoDodaniaPSC">
    <vt:lpwstr>032 11</vt:lpwstr>
  </property>
  <property fmtid="{D5CDD505-2E9C-101B-9397-08002B2CF9AE}" pid="42" name="MiestoDodaniaObec">
    <vt:lpwstr>Svätý Kríž</vt:lpwstr>
  </property>
  <property fmtid="{D5CDD505-2E9C-101B-9397-08002B2CF9AE}" pid="43" name="TerminDodania">
    <vt:lpwstr>do 3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>Peter Mäsiar</vt:lpwstr>
  </property>
  <property fmtid="{D5CDD505-2E9C-101B-9397-08002B2CF9AE}" pid="55" name="StatutarnyOrgan3">
    <vt:lpwstr>Vladimír Poliak </vt:lpwstr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