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49E52E37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7C030D">
        <w:rPr>
          <w:rFonts w:ascii="Arial" w:hAnsi="Arial" w:cs="Arial"/>
          <w:sz w:val="20"/>
          <w:szCs w:val="20"/>
        </w:rPr>
        <w:t>29</w:t>
      </w:r>
      <w:r w:rsidR="00301960">
        <w:rPr>
          <w:rFonts w:ascii="Arial" w:hAnsi="Arial" w:cs="Arial"/>
          <w:sz w:val="20"/>
          <w:szCs w:val="20"/>
        </w:rPr>
        <w:t>.1.2024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142FD0CA" w14:textId="77777777" w:rsidR="00E50243" w:rsidRPr="00E50243" w:rsidRDefault="00E50243" w:rsidP="00E50243"/>
    <w:p w14:paraId="383E2593" w14:textId="658317DF" w:rsidR="00BF3C05" w:rsidRPr="00F209A6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7C030D">
        <w:rPr>
          <w:rFonts w:ascii="Arial" w:eastAsia="Times New Roman" w:hAnsi="Arial" w:cs="Arial"/>
          <w:b/>
          <w:bCs/>
          <w:color w:val="754BFF"/>
          <w:lang w:eastAsia="en-US"/>
        </w:rPr>
        <w:t>2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4BFDDB1" w14:textId="0790E337" w:rsidR="00DF7DAD" w:rsidRDefault="00A61AF1" w:rsidP="004B7388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32E14" w:rsidRPr="002717D0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717D0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717D0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717D0">
        <w:rPr>
          <w:rFonts w:ascii="Arial" w:hAnsi="Arial" w:cs="Arial"/>
          <w:bCs/>
          <w:color w:val="auto"/>
          <w:sz w:val="20"/>
          <w:szCs w:val="20"/>
        </w:rPr>
        <w:t>, verejný obstarávateľ poskytuje</w:t>
      </w:r>
      <w:r w:rsidR="000F7EF8" w:rsidRPr="002717D0">
        <w:rPr>
          <w:rFonts w:ascii="Arial" w:hAnsi="Arial" w:cs="Arial"/>
          <w:bCs/>
          <w:color w:val="auto"/>
          <w:sz w:val="20"/>
          <w:szCs w:val="20"/>
        </w:rPr>
        <w:t xml:space="preserve"> na otázky záujemcu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nasledovné vysvetlenie:</w:t>
      </w:r>
    </w:p>
    <w:p w14:paraId="55D00008" w14:textId="77777777" w:rsidR="004B7388" w:rsidRDefault="004B738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AEDC1C6" w14:textId="782AC07B" w:rsidR="00A11C1A" w:rsidRPr="007824D9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7C030D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1:</w:t>
      </w:r>
    </w:p>
    <w:p w14:paraId="49FF515B" w14:textId="60D92469" w:rsidR="00751B31" w:rsidRDefault="00751B31" w:rsidP="00F52E7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>V prílohe č.</w:t>
      </w:r>
      <w:r w:rsidR="001A390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751B3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 – Opis predmetu zákazky v časti „Základná špecifikácia RM-RVO a správy zariadení </w:t>
      </w:r>
      <w:r w:rsidR="009112D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F52E76" w:rsidRPr="00F52E76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medzi zoznamom príloh ma byt aj </w:t>
      </w:r>
      <w:r w:rsidR="00F52E76">
        <w:rPr>
          <w:rFonts w:ascii="Arial" w:hAnsi="Arial" w:cs="Arial"/>
          <w:color w:val="auto"/>
          <w:sz w:val="20"/>
          <w:szCs w:val="20"/>
          <w:shd w:val="clear" w:color="auto" w:fill="FFFFFF"/>
        </w:rPr>
        <w:t>p</w:t>
      </w:r>
      <w:r w:rsidR="00F52E76" w:rsidRPr="00F52E76">
        <w:rPr>
          <w:rFonts w:ascii="Arial" w:hAnsi="Arial" w:cs="Arial"/>
          <w:color w:val="auto"/>
          <w:sz w:val="20"/>
          <w:szCs w:val="20"/>
          <w:shd w:val="clear" w:color="auto" w:fill="FFFFFF"/>
        </w:rPr>
        <w:t>redvyplnený JED formulár, prosím viete ho doplniť do príloh?</w:t>
      </w:r>
      <w:r w:rsidRPr="00751B31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</w:p>
    <w:p w14:paraId="377149A7" w14:textId="1B2719FC" w:rsidR="000F7EF8" w:rsidRPr="007824D9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C350A">
        <w:rPr>
          <w:rFonts w:ascii="Arial" w:hAnsi="Arial" w:cs="Arial"/>
          <w:b/>
          <w:bCs/>
          <w:color w:val="auto"/>
          <w:sz w:val="20"/>
          <w:szCs w:val="20"/>
        </w:rPr>
        <w:t>Odpoveď č. 1</w:t>
      </w:r>
      <w:r w:rsidR="007C030D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FC350A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8F9636A" w14:textId="458AE7B7" w:rsidR="004B7388" w:rsidRPr="002916C4" w:rsidRDefault="00F52E76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dopĺňa predvyplnený JED k danej zákazky medzi prílohy. </w:t>
      </w:r>
    </w:p>
    <w:p w14:paraId="33F71758" w14:textId="461C9038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7C030D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D73DD3" w:rsidRPr="007824D9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7824D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130477F" w14:textId="77777777" w:rsidR="002916C4" w:rsidRDefault="002916C4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t>V Súťažných podkladoch v Zmluve o dodávke prvkov a poskytovaní služieb riadiaceho systému verejného osvetlenia mesta Bratislava a súvisiacich služieb sa uvádza:</w:t>
      </w:r>
    </w:p>
    <w:p w14:paraId="1B75EFE3" w14:textId="77777777" w:rsidR="00F85B49" w:rsidRDefault="002916C4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Bod 7.2. - V prípade, ak Poskytovateľ úspešne vykoná Pilotný projekt a ani do tridsiatich (30) dní odo dňa vystavenia Akceptačného protokolu o úspešnom vykonaní Pilotného projektu nedôjde </w:t>
      </w:r>
      <w:r w:rsidR="00F85B49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t>k predčasnému ukončeniu tejto Zmluvy podľa bodu 18.6</w:t>
      </w:r>
      <w:r w:rsidR="00F85B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t>(a) tejto Zmluvy, Objednávateľ sa zaväzuje Poskytovateľovi vystaviť Objednávku na dodanie a plnenie Fixnej časti Základného rozsahu projektu.</w:t>
      </w: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  <w:t>Bod 18.6</w:t>
      </w:r>
      <w:r w:rsidR="00F85B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t>(a) - Objednávateľ je oprávnený vypovedať túto Zmluvu aj bez uvedenia dôvodu v čase od vydania Akceptačného protokolu o úspešnom vykonaní Pilotného projektu do uplynutia tridsiatich (30) dní odo dňa vydania Akceptačného protokolu o úspešnom vykonaní Pilotného projektu. Možnosť výpovede podľa tohto bodu tiež zaniká vystavením prvej Objednávky na akýkoľvek rozsah Základného rozsahu služby po úspešnom vykonaní Pilotného projektu. V prípade výpovede podľa tohto bodu je výpovedná doba jeden (1) mesiac odo dňa doručenia výpovede.</w:t>
      </w:r>
    </w:p>
    <w:p w14:paraId="29476004" w14:textId="56086776" w:rsidR="000F7EF8" w:rsidRPr="007824D9" w:rsidRDefault="002916C4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916C4">
        <w:rPr>
          <w:rFonts w:ascii="Arial" w:hAnsi="Arial" w:cs="Arial"/>
          <w:color w:val="auto"/>
          <w:sz w:val="20"/>
          <w:szCs w:val="20"/>
          <w:shd w:val="clear" w:color="auto" w:fill="FFFFFF"/>
        </w:rPr>
        <w:t>Žiadame Verejného obstarávateľa o vysvetlenie, keď postavil súťaž s preukázaním referencií na min. 15 000 RM-S a 300 RM-RVO z akého dôvodu chce mať oprávnenie vypovedať túto Zmluvu aj bez udania dôvodu s úspešným Poskytovateľom ktorý úspešne vykonal Pilotný projekt v objeme 1000 ks RM-S a 30 ks RM-RVO a získal od Objednávateľa Akceptačný protokol o úspešnom vykonaní Pilotného projektu? Z tohto hľadiska aké oprávnenia a práva má úspešný Poskytovateľ ktorý úspešne vykonal Pilotný projekt k získaniu ďalších objednávok na dodanie RM-S a RM-RVO?</w:t>
      </w:r>
      <w:r w:rsidR="00611A5D" w:rsidRPr="007824D9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14:paraId="323B3326" w14:textId="50D58C9C" w:rsidR="000F7EF8" w:rsidRPr="007824D9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7E31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7C030D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D73DD3" w:rsidRPr="00487E3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487E31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1FE6CF1" w14:textId="3EE2F986" w:rsidR="00891781" w:rsidRDefault="00B5795C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Úmyslom verejného obstarávateľa, s ktorým vyhlásil túto zákazku</w:t>
      </w:r>
      <w:r w:rsidR="006D3AD7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je j</w:t>
      </w:r>
      <w:r w:rsidR="0018229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ej plnenie minimálne po dobu 10 rokov (v prípade, ak nedôjde k predĺženiu doby poskytovania plnenia v súlade </w:t>
      </w:r>
      <w:r w:rsidR="0018229D" w:rsidRPr="00222E2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 bodom </w:t>
      </w:r>
      <w:r w:rsidR="00BA51B3" w:rsidRPr="00222E20">
        <w:rPr>
          <w:rFonts w:ascii="Arial" w:hAnsi="Arial" w:cs="Arial"/>
          <w:color w:val="auto"/>
          <w:sz w:val="20"/>
          <w:szCs w:val="20"/>
          <w:shd w:val="clear" w:color="auto" w:fill="FFFFFF"/>
        </w:rPr>
        <w:t>3.1</w:t>
      </w:r>
      <w:r w:rsidR="00BA51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18229D">
        <w:rPr>
          <w:rFonts w:ascii="Arial" w:hAnsi="Arial" w:cs="Arial"/>
          <w:color w:val="auto"/>
          <w:sz w:val="20"/>
          <w:szCs w:val="20"/>
          <w:shd w:val="clear" w:color="auto" w:fill="FFFFFF"/>
        </w:rPr>
        <w:t>Zmluvy)</w:t>
      </w:r>
      <w:r w:rsidR="007E0B03">
        <w:rPr>
          <w:rFonts w:ascii="Arial" w:hAnsi="Arial" w:cs="Arial"/>
          <w:color w:val="auto"/>
          <w:sz w:val="20"/>
          <w:szCs w:val="20"/>
          <w:shd w:val="clear" w:color="auto" w:fill="FFFFFF"/>
        </w:rPr>
        <w:t>. Verejný obstarávateľ však pripúšťa, že pri realizácii pilotného projektu môže dôjsť k</w:t>
      </w:r>
      <w:r w:rsidR="00DF5067">
        <w:rPr>
          <w:rFonts w:ascii="Arial" w:hAnsi="Arial" w:cs="Arial"/>
          <w:color w:val="auto"/>
          <w:sz w:val="20"/>
          <w:szCs w:val="20"/>
          <w:shd w:val="clear" w:color="auto" w:fill="FFFFFF"/>
        </w:rPr>
        <w:t> okolnostiam, ktoré budú mať vplyv na ďalšie plnenie predmetu zákazky, pre ktoré sa môže ukázať ako neúčelne, neefektívne alebo inak nemožn</w:t>
      </w:r>
      <w:r w:rsidR="005969F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é pokračovať v poskytovaní plnenia, a to aj napriek </w:t>
      </w:r>
      <w:r w:rsidR="00772DC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úspešnému </w:t>
      </w:r>
      <w:r w:rsidR="00772DCA">
        <w:rPr>
          <w:rFonts w:ascii="Arial" w:hAnsi="Arial" w:cs="Arial"/>
          <w:color w:val="auto"/>
          <w:sz w:val="20"/>
          <w:szCs w:val="20"/>
          <w:shd w:val="clear" w:color="auto" w:fill="FFFFFF"/>
        </w:rPr>
        <w:lastRenderedPageBreak/>
        <w:t>vykonaniu pilotného projektu.</w:t>
      </w:r>
      <w:r w:rsidR="0085727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Z uvedeného dôvodu zahrnul verejný obstarávateľ do návrhu Zmluvy </w:t>
      </w:r>
      <w:r w:rsidR="00222E20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85727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aj záujemcom uvedené </w:t>
      </w:r>
      <w:r w:rsidR="009E2CBD">
        <w:rPr>
          <w:rFonts w:ascii="Arial" w:hAnsi="Arial" w:cs="Arial"/>
          <w:color w:val="auto"/>
          <w:sz w:val="20"/>
          <w:szCs w:val="20"/>
          <w:shd w:val="clear" w:color="auto" w:fill="FFFFFF"/>
        </w:rPr>
        <w:t>ustanovenie</w:t>
      </w:r>
      <w:r w:rsidR="0085727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9E2CBD">
        <w:rPr>
          <w:rFonts w:ascii="Arial" w:hAnsi="Arial" w:cs="Arial"/>
          <w:color w:val="auto"/>
          <w:sz w:val="20"/>
          <w:szCs w:val="20"/>
          <w:shd w:val="clear" w:color="auto" w:fill="FFFFFF"/>
        </w:rPr>
        <w:t>bodu 18.6 (a).</w:t>
      </w:r>
    </w:p>
    <w:p w14:paraId="1EF1711E" w14:textId="7FF2FAF7" w:rsidR="009E2CBD" w:rsidRPr="00F803E5" w:rsidRDefault="00C524C4" w:rsidP="00B37BC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ďalej uvádza, že </w:t>
      </w:r>
      <w:r w:rsidR="0045791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táto zákazka je realizovaná postupom rokovacieho konania </w:t>
      </w:r>
      <w:r w:rsidR="00222E20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45791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so zverejnením, kde očakáva zo strany uchádzačov ďalšie podnety </w:t>
      </w:r>
      <w:r w:rsidR="00624B7B">
        <w:rPr>
          <w:rFonts w:ascii="Arial" w:hAnsi="Arial" w:cs="Arial"/>
          <w:color w:val="auto"/>
          <w:sz w:val="20"/>
          <w:szCs w:val="20"/>
          <w:shd w:val="clear" w:color="auto" w:fill="FFFFFF"/>
        </w:rPr>
        <w:t>ohľadom technického riešenia</w:t>
      </w:r>
      <w:r w:rsidR="0038196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624B7B">
        <w:rPr>
          <w:rFonts w:ascii="Arial" w:hAnsi="Arial" w:cs="Arial"/>
          <w:color w:val="auto"/>
          <w:sz w:val="20"/>
          <w:szCs w:val="20"/>
          <w:shd w:val="clear" w:color="auto" w:fill="FFFFFF"/>
        </w:rPr>
        <w:t>zmluvných podmienok</w:t>
      </w:r>
      <w:r w:rsidR="00C7593F">
        <w:rPr>
          <w:rFonts w:ascii="Arial" w:hAnsi="Arial" w:cs="Arial"/>
          <w:color w:val="auto"/>
          <w:sz w:val="20"/>
          <w:szCs w:val="20"/>
          <w:shd w:val="clear" w:color="auto" w:fill="FFFFFF"/>
        </w:rPr>
        <w:t>, ktoré sú k dnešnému dňu zverejnené</w:t>
      </w:r>
      <w:r w:rsidR="0038196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alebo iných faktorov, ktoré môžu </w:t>
      </w:r>
      <w:r w:rsidR="00130A25">
        <w:rPr>
          <w:rFonts w:ascii="Arial" w:hAnsi="Arial" w:cs="Arial"/>
          <w:color w:val="auto"/>
          <w:sz w:val="20"/>
          <w:szCs w:val="20"/>
          <w:shd w:val="clear" w:color="auto" w:fill="FFFFFF"/>
        </w:rPr>
        <w:t>ovplyvniť</w:t>
      </w:r>
      <w:r w:rsidR="0038196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 požadované plnenie</w:t>
      </w:r>
      <w:r w:rsidR="00743DC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a to v pilotnej fáze </w:t>
      </w:r>
      <w:r w:rsidR="009A4E2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alebo v </w:t>
      </w:r>
      <w:r w:rsidR="00743DCA">
        <w:rPr>
          <w:rFonts w:ascii="Arial" w:hAnsi="Arial" w:cs="Arial"/>
          <w:color w:val="auto"/>
          <w:sz w:val="20"/>
          <w:szCs w:val="20"/>
          <w:shd w:val="clear" w:color="auto" w:fill="FFFFFF"/>
        </w:rPr>
        <w:t>ďalších fázach projektu</w:t>
      </w:r>
      <w:r w:rsidR="00624B7B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C7434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Verejný obstarávateľ nevylučuje, že počas týchto rokovaní </w:t>
      </w:r>
      <w:r w:rsidR="002E26E8">
        <w:rPr>
          <w:rFonts w:ascii="Arial" w:hAnsi="Arial" w:cs="Arial"/>
          <w:color w:val="auto"/>
          <w:sz w:val="20"/>
          <w:szCs w:val="20"/>
          <w:shd w:val="clear" w:color="auto" w:fill="FFFFFF"/>
        </w:rPr>
        <w:t>sa ukáže ako vhodné upraviť rôzne parametre</w:t>
      </w:r>
      <w:r w:rsidR="00C25811">
        <w:rPr>
          <w:rFonts w:ascii="Arial" w:hAnsi="Arial" w:cs="Arial"/>
          <w:color w:val="auto"/>
          <w:sz w:val="20"/>
          <w:szCs w:val="20"/>
          <w:shd w:val="clear" w:color="auto" w:fill="FFFFFF"/>
        </w:rPr>
        <w:t>, zmluvné podmienky</w:t>
      </w:r>
      <w:r w:rsidR="00C564B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alebo uchádzači poukážu na ďalšie okolnosti</w:t>
      </w:r>
      <w:r w:rsidR="002E26E8">
        <w:rPr>
          <w:rFonts w:ascii="Arial" w:hAnsi="Arial" w:cs="Arial"/>
          <w:color w:val="auto"/>
          <w:sz w:val="20"/>
          <w:szCs w:val="20"/>
          <w:shd w:val="clear" w:color="auto" w:fill="FFFFFF"/>
        </w:rPr>
        <w:t>, ktoré môžu mať vplyv na úspešnosť pilotného projektu</w:t>
      </w:r>
      <w:r w:rsidR="00C2581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alebo na pokračovanie v poskytovaní plnenia.</w:t>
      </w:r>
      <w:r w:rsidR="009A4E2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C4E19">
        <w:rPr>
          <w:rFonts w:ascii="Arial" w:hAnsi="Arial" w:cs="Arial"/>
          <w:color w:val="auto"/>
          <w:sz w:val="20"/>
          <w:szCs w:val="20"/>
          <w:shd w:val="clear" w:color="auto" w:fill="FFFFFF"/>
        </w:rPr>
        <w:t>Pre úplnosť</w:t>
      </w:r>
      <w:r w:rsidR="009E2CBD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však verejný obstarávateľ </w:t>
      </w:r>
      <w:r w:rsidR="008B66D4">
        <w:rPr>
          <w:rFonts w:ascii="Arial" w:hAnsi="Arial" w:cs="Arial"/>
          <w:color w:val="auto"/>
          <w:sz w:val="20"/>
          <w:szCs w:val="20"/>
          <w:shd w:val="clear" w:color="auto" w:fill="FFFFFF"/>
        </w:rPr>
        <w:t>dodáva</w:t>
      </w:r>
      <w:r w:rsidR="009E2CBD">
        <w:rPr>
          <w:rFonts w:ascii="Arial" w:hAnsi="Arial" w:cs="Arial"/>
          <w:color w:val="auto"/>
          <w:sz w:val="20"/>
          <w:szCs w:val="20"/>
          <w:shd w:val="clear" w:color="auto" w:fill="FFFFFF"/>
        </w:rPr>
        <w:t>, že v tomto prípade ide o návrh Zmluvy, ktorý je v priebehu rokovaní modifikovateľný</w:t>
      </w:r>
      <w:r w:rsidR="00037F2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ak sa </w:t>
      </w:r>
      <w:r w:rsidR="00CF1C4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takáto </w:t>
      </w:r>
      <w:r w:rsidR="00037F29">
        <w:rPr>
          <w:rFonts w:ascii="Arial" w:hAnsi="Arial" w:cs="Arial"/>
          <w:color w:val="auto"/>
          <w:sz w:val="20"/>
          <w:szCs w:val="20"/>
          <w:shd w:val="clear" w:color="auto" w:fill="FFFFFF"/>
        </w:rPr>
        <w:t>úprava ukáže ako účelná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</w:t>
      </w: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146B5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6C6A" w14:textId="77777777" w:rsidR="00D146B5" w:rsidRDefault="00D146B5">
      <w:pPr>
        <w:spacing w:after="0"/>
      </w:pPr>
      <w:r>
        <w:separator/>
      </w:r>
    </w:p>
  </w:endnote>
  <w:endnote w:type="continuationSeparator" w:id="0">
    <w:p w14:paraId="6D27D748" w14:textId="77777777" w:rsidR="00D146B5" w:rsidRDefault="00D146B5">
      <w:pPr>
        <w:spacing w:after="0"/>
      </w:pPr>
      <w:r>
        <w:continuationSeparator/>
      </w:r>
    </w:p>
  </w:endnote>
  <w:endnote w:type="continuationNotice" w:id="1">
    <w:p w14:paraId="7DDB38E9" w14:textId="77777777" w:rsidR="00D146B5" w:rsidRDefault="00D146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1996" w14:textId="77777777" w:rsidR="00D146B5" w:rsidRDefault="00D146B5">
      <w:pPr>
        <w:spacing w:after="0"/>
      </w:pPr>
      <w:r>
        <w:separator/>
      </w:r>
    </w:p>
  </w:footnote>
  <w:footnote w:type="continuationSeparator" w:id="0">
    <w:p w14:paraId="293A1F52" w14:textId="77777777" w:rsidR="00D146B5" w:rsidRDefault="00D146B5">
      <w:pPr>
        <w:spacing w:after="0"/>
      </w:pPr>
      <w:r>
        <w:continuationSeparator/>
      </w:r>
    </w:p>
  </w:footnote>
  <w:footnote w:type="continuationNotice" w:id="1">
    <w:p w14:paraId="15A50FAF" w14:textId="77777777" w:rsidR="00D146B5" w:rsidRDefault="00D146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37F29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5055"/>
    <w:rsid w:val="001150D0"/>
    <w:rsid w:val="001154EF"/>
    <w:rsid w:val="00115B55"/>
    <w:rsid w:val="00117384"/>
    <w:rsid w:val="0012383D"/>
    <w:rsid w:val="00126479"/>
    <w:rsid w:val="00130A25"/>
    <w:rsid w:val="00132E14"/>
    <w:rsid w:val="001331C4"/>
    <w:rsid w:val="00136ACA"/>
    <w:rsid w:val="0013735F"/>
    <w:rsid w:val="00140FC2"/>
    <w:rsid w:val="00142AE9"/>
    <w:rsid w:val="00142D3F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29D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2E20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6C4"/>
    <w:rsid w:val="002918C1"/>
    <w:rsid w:val="002920C2"/>
    <w:rsid w:val="002A19C7"/>
    <w:rsid w:val="002B3867"/>
    <w:rsid w:val="002C1825"/>
    <w:rsid w:val="002C4E19"/>
    <w:rsid w:val="002C7C57"/>
    <w:rsid w:val="002D2A6A"/>
    <w:rsid w:val="002E26E8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1960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4002BE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91E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969F3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24504"/>
    <w:rsid w:val="00624B7B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D3AD7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43DCA"/>
    <w:rsid w:val="00751B31"/>
    <w:rsid w:val="00754BAA"/>
    <w:rsid w:val="00756BB6"/>
    <w:rsid w:val="007579F3"/>
    <w:rsid w:val="0076176E"/>
    <w:rsid w:val="00764E6D"/>
    <w:rsid w:val="00771E3D"/>
    <w:rsid w:val="00772DCA"/>
    <w:rsid w:val="007820C7"/>
    <w:rsid w:val="007824D9"/>
    <w:rsid w:val="00784B7F"/>
    <w:rsid w:val="00786578"/>
    <w:rsid w:val="00791488"/>
    <w:rsid w:val="007961D6"/>
    <w:rsid w:val="007B0C7B"/>
    <w:rsid w:val="007B12DA"/>
    <w:rsid w:val="007C030D"/>
    <w:rsid w:val="007D50B1"/>
    <w:rsid w:val="007E0B03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270"/>
    <w:rsid w:val="0086579B"/>
    <w:rsid w:val="00870EB1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6D4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4E25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2CBD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12EC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DA4"/>
    <w:rsid w:val="00B261F5"/>
    <w:rsid w:val="00B37BCD"/>
    <w:rsid w:val="00B41F35"/>
    <w:rsid w:val="00B41F40"/>
    <w:rsid w:val="00B50839"/>
    <w:rsid w:val="00B5795C"/>
    <w:rsid w:val="00B6069E"/>
    <w:rsid w:val="00B61CBD"/>
    <w:rsid w:val="00B61DD3"/>
    <w:rsid w:val="00B6245B"/>
    <w:rsid w:val="00B63F26"/>
    <w:rsid w:val="00B7009C"/>
    <w:rsid w:val="00B77928"/>
    <w:rsid w:val="00B77B3F"/>
    <w:rsid w:val="00B84445"/>
    <w:rsid w:val="00B85265"/>
    <w:rsid w:val="00B8605C"/>
    <w:rsid w:val="00B86BD9"/>
    <w:rsid w:val="00B96D23"/>
    <w:rsid w:val="00BA062F"/>
    <w:rsid w:val="00BA51B3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57FF"/>
    <w:rsid w:val="00BE72B4"/>
    <w:rsid w:val="00BF3C05"/>
    <w:rsid w:val="00C01D76"/>
    <w:rsid w:val="00C04C90"/>
    <w:rsid w:val="00C134A2"/>
    <w:rsid w:val="00C25811"/>
    <w:rsid w:val="00C27274"/>
    <w:rsid w:val="00C35E01"/>
    <w:rsid w:val="00C43165"/>
    <w:rsid w:val="00C45C95"/>
    <w:rsid w:val="00C50B5B"/>
    <w:rsid w:val="00C524C4"/>
    <w:rsid w:val="00C55FE7"/>
    <w:rsid w:val="00C564BA"/>
    <w:rsid w:val="00C56D11"/>
    <w:rsid w:val="00C64F00"/>
    <w:rsid w:val="00C65E93"/>
    <w:rsid w:val="00C70193"/>
    <w:rsid w:val="00C71DFF"/>
    <w:rsid w:val="00C73E22"/>
    <w:rsid w:val="00C7434D"/>
    <w:rsid w:val="00C7593F"/>
    <w:rsid w:val="00C76908"/>
    <w:rsid w:val="00C76F5E"/>
    <w:rsid w:val="00C77C75"/>
    <w:rsid w:val="00C80294"/>
    <w:rsid w:val="00C861C5"/>
    <w:rsid w:val="00C968E2"/>
    <w:rsid w:val="00C97088"/>
    <w:rsid w:val="00CA689E"/>
    <w:rsid w:val="00CF1C48"/>
    <w:rsid w:val="00D007D7"/>
    <w:rsid w:val="00D01211"/>
    <w:rsid w:val="00D11AA1"/>
    <w:rsid w:val="00D12A32"/>
    <w:rsid w:val="00D1331E"/>
    <w:rsid w:val="00D146B5"/>
    <w:rsid w:val="00D25996"/>
    <w:rsid w:val="00D260C3"/>
    <w:rsid w:val="00D34213"/>
    <w:rsid w:val="00D3576F"/>
    <w:rsid w:val="00D43503"/>
    <w:rsid w:val="00D43B0D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5067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7369D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52E76"/>
    <w:rsid w:val="00F6123A"/>
    <w:rsid w:val="00F7074A"/>
    <w:rsid w:val="00F75DDF"/>
    <w:rsid w:val="00F803E5"/>
    <w:rsid w:val="00F85992"/>
    <w:rsid w:val="00F85B49"/>
    <w:rsid w:val="00F862BE"/>
    <w:rsid w:val="00F90DDA"/>
    <w:rsid w:val="00F9410B"/>
    <w:rsid w:val="00FA150F"/>
    <w:rsid w:val="00FA359A"/>
    <w:rsid w:val="00FB5D14"/>
    <w:rsid w:val="00FC350A"/>
    <w:rsid w:val="00FC3DA3"/>
    <w:rsid w:val="00FD12FF"/>
    <w:rsid w:val="00FD6E9E"/>
    <w:rsid w:val="00FD7C8D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  <UserInfo>
        <DisplayName>Juraj Nyulassy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2" ma:contentTypeDescription="Umožňuje vytvoriť nový dokument." ma:contentTypeScope="" ma:versionID="ce9e7873b78976610a69b29c23739ef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5f57ebabbf2ad012e4efded42a8ae6c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2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ADE8E-C80F-410C-8FE6-F5B5159F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3</cp:revision>
  <dcterms:created xsi:type="dcterms:W3CDTF">2024-01-30T13:07:00Z</dcterms:created>
  <dcterms:modified xsi:type="dcterms:W3CDTF">2024-01-30T13:07:00Z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