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C5141">
        <w:rPr>
          <w:rFonts w:ascii="Arial Narrow" w:hAnsi="Arial Narrow" w:cs="Times New Roman"/>
          <w:b/>
          <w:bCs/>
          <w:i/>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AC5141">
        <w:rPr>
          <w:rFonts w:ascii="Arial Narrow" w:hAnsi="Arial Narrow" w:cs="Times New Roman"/>
          <w:b/>
          <w:bCs/>
          <w:i/>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AC5141">
        <w:rPr>
          <w:rFonts w:ascii="Arial Narrow" w:hAnsi="Arial Narrow" w:cs="Times New Roman"/>
          <w:b/>
          <w:bCs/>
          <w:i/>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AC5141">
        <w:rPr>
          <w:rFonts w:ascii="Arial Narrow" w:hAnsi="Arial Narrow" w:cs="Times New Roman"/>
          <w:b/>
          <w:i/>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w:t>
      </w:r>
      <w:r w:rsidR="00F93560" w:rsidRPr="00AC5141">
        <w:rPr>
          <w:rFonts w:ascii="Arial Narrow" w:hAnsi="Arial Narrow" w:cs="Times New Roman"/>
          <w:b/>
          <w:i/>
        </w:rPr>
        <w:t>Obchodný zákonník</w:t>
      </w:r>
      <w:r w:rsidR="00F93560">
        <w:rPr>
          <w:rFonts w:ascii="Arial Narrow" w:hAnsi="Arial Narrow" w:cs="Times New Roman"/>
        </w:rPr>
        <w:t>“)</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z. o verejnom obstarávaní a o zmene a doplnení niektorých zákonov v znení neskorších predpisov (ďalej len „</w:t>
      </w:r>
      <w:r w:rsidRPr="00AC5141">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AC5141">
        <w:rPr>
          <w:rFonts w:ascii="Arial Narrow" w:hAnsi="Arial Narrow" w:cs="Times New Roman"/>
          <w:b/>
          <w:bCs/>
          <w:i/>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w:t>
      </w:r>
      <w:r w:rsidRPr="00AC5141">
        <w:rPr>
          <w:rFonts w:ascii="Arial Narrow" w:hAnsi="Arial Narrow"/>
          <w:b/>
          <w:i/>
        </w:rPr>
        <w:t>MZ SR</w:t>
      </w:r>
      <w:r w:rsidRPr="0092527D">
        <w:rPr>
          <w:rFonts w:ascii="Arial Narrow" w:hAnsi="Arial Narrow"/>
        </w:rPr>
        <w:t xml:space="preserve">“)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AC5141">
        <w:rPr>
          <w:rFonts w:ascii="Arial Narrow" w:hAnsi="Arial Narrow" w:cs="Times New Roman"/>
          <w:b/>
          <w:i/>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AC5141">
        <w:rPr>
          <w:rFonts w:ascii="Arial Narrow" w:hAnsi="Arial Narrow" w:cs="Times New Roman"/>
          <w:b/>
          <w:bCs/>
          <w:i/>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AC5141">
        <w:rPr>
          <w:rFonts w:ascii="Arial Narrow" w:hAnsi="Arial Narrow" w:cs="Times New Roman"/>
          <w:b/>
          <w:bCs/>
          <w:i/>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AC5141">
        <w:rPr>
          <w:rFonts w:ascii="Arial Narrow" w:hAnsi="Arial Narrow" w:cs="Times New Roman"/>
          <w:b/>
          <w:bCs/>
          <w:i/>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zúčtovateľovi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očakávať, zachovávajúc štandardy best practice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sidRPr="00AC5141">
        <w:rPr>
          <w:rFonts w:ascii="Arial Narrow" w:hAnsi="Arial Narrow" w:cs="Times New Roman"/>
          <w:b/>
          <w:bCs/>
          <w:i/>
        </w:rPr>
        <w:t>Citlivé</w:t>
      </w:r>
      <w:r w:rsidRPr="00AC5141">
        <w:rPr>
          <w:rFonts w:ascii="Arial Narrow" w:hAnsi="Arial Narrow" w:cs="Times New Roman"/>
          <w:b/>
          <w:bCs/>
          <w:i/>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AC5141">
        <w:rPr>
          <w:rFonts w:ascii="Arial Narrow" w:hAnsi="Arial Narrow" w:cs="Times New Roman"/>
          <w:b/>
          <w:bCs/>
          <w:i/>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3C46E351"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w:t>
      </w:r>
      <w:r w:rsidR="00AC5141">
        <w:rPr>
          <w:rFonts w:ascii="Arial Narrow" w:hAnsi="Arial Narrow" w:cs="Times New Roman"/>
        </w:rPr>
        <w:t xml:space="preserve"> - </w:t>
      </w:r>
      <w:r w:rsidR="006A0474" w:rsidRPr="00CE3E37">
        <w:rPr>
          <w:rFonts w:ascii="Arial Narrow" w:hAnsi="Arial Narrow" w:cs="Times New Roman"/>
        </w:rPr>
        <w:t>distribúcia</w:t>
      </w:r>
      <w:r w:rsidR="0053242E">
        <w:rPr>
          <w:rFonts w:ascii="Arial Narrow" w:hAnsi="Arial Narrow" w:cs="Times New Roman"/>
        </w:rPr>
        <w:t>,</w:t>
      </w:r>
      <w:r w:rsidR="006A0474" w:rsidRPr="00CE3E37">
        <w:rPr>
          <w:rFonts w:ascii="Arial Narrow" w:hAnsi="Arial Narrow" w:cs="Times New Roman"/>
        </w:rPr>
        <w:t xml:space="preserve"> a.s.</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1A461F60"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00471F82">
        <w:rPr>
          <w:rFonts w:ascii="Arial Narrow" w:hAnsi="Arial Narrow" w:cs="Times New Roman"/>
        </w:rPr>
        <w:t xml:space="preserve"> (ďalej iba „</w:t>
      </w:r>
      <w:r w:rsidR="00471F82" w:rsidRPr="00AC5141">
        <w:rPr>
          <w:rFonts w:ascii="Arial Narrow" w:hAnsi="Arial Narrow" w:cs="Times New Roman"/>
          <w:b/>
          <w:i/>
        </w:rPr>
        <w:t>Zákon o registri partnerov verejného sektora</w:t>
      </w:r>
      <w:r w:rsidR="00471F82">
        <w:rPr>
          <w:rFonts w:ascii="Arial Narrow" w:hAnsi="Arial Narrow" w:cs="Times New Roman"/>
        </w:rPr>
        <w:t>“)</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04EB2037"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xml:space="preserve">, ktorý je definovaný v § </w:t>
      </w:r>
      <w:r w:rsidR="00471F82">
        <w:rPr>
          <w:rFonts w:ascii="Arial Narrow" w:hAnsi="Arial Narrow" w:cs="Times New Roman"/>
        </w:rPr>
        <w:t>82</w:t>
      </w:r>
      <w:r w:rsidRPr="00CE3E37">
        <w:rPr>
          <w:rFonts w:ascii="Arial Narrow" w:hAnsi="Arial Narrow" w:cs="Times New Roman"/>
        </w:rPr>
        <w:t xml:space="preserve">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12C67815" w14:textId="77777777" w:rsidR="0078163C" w:rsidRPr="000B7326" w:rsidRDefault="0078163C" w:rsidP="0078163C">
      <w:pPr>
        <w:pStyle w:val="Odsekzoznamu"/>
        <w:numPr>
          <w:ilvl w:val="1"/>
          <w:numId w:val="7"/>
        </w:numPr>
        <w:spacing w:after="0" w:line="240" w:lineRule="auto"/>
        <w:ind w:left="709" w:hanging="709"/>
        <w:jc w:val="both"/>
        <w:rPr>
          <w:rFonts w:ascii="Arial Narrow" w:hAnsi="Arial Narrow" w:cs="Times New Roman"/>
        </w:rPr>
      </w:pPr>
      <w:r w:rsidRPr="000B7326">
        <w:rPr>
          <w:rFonts w:ascii="Arial Narrow" w:hAnsi="Arial Narrow"/>
        </w:rPr>
        <w:t>Prevádzkovateľ distribučnej sústavy (ďalej len „PDS“) informuje Objednávateľa o dodávke poslednej inštancie  v zmysle platnej legislatívy.</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s SPP - distribúcia, a.s.,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08ACE209" w:rsidR="0024289F" w:rsidRPr="00AC5141" w:rsidRDefault="0024289F" w:rsidP="00570382">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poplatky za služby podľa cenníkov služieb príslušného PDS</w:t>
      </w:r>
      <w:r w:rsidR="00D837CF" w:rsidRPr="00AC5141">
        <w:rPr>
          <w:rFonts w:ascii="Arial Narrow" w:hAnsi="Arial Narrow" w:cs="Times New Roman"/>
          <w:color w:val="000000" w:themeColor="text1"/>
          <w:lang w:eastAsia="de-DE"/>
        </w:rPr>
        <w:t>, PPS</w:t>
      </w:r>
      <w:r w:rsidRPr="00AC5141">
        <w:rPr>
          <w:rFonts w:ascii="Arial Narrow" w:hAnsi="Arial Narrow" w:cs="Times New Roman"/>
          <w:color w:val="000000" w:themeColor="text1"/>
          <w:lang w:eastAsia="de-DE"/>
        </w:rPr>
        <w:t xml:space="preserve"> a Poskytovateľa platných v čase poskytnutia súvisiacej služby, ktoré sú zve</w:t>
      </w:r>
      <w:r w:rsidR="00D53BAA" w:rsidRPr="00AC5141">
        <w:rPr>
          <w:rFonts w:ascii="Arial Narrow" w:hAnsi="Arial Narrow" w:cs="Times New Roman"/>
          <w:color w:val="000000" w:themeColor="text1"/>
          <w:lang w:eastAsia="de-DE"/>
        </w:rPr>
        <w:t>rejnené na ich webových sídlach</w:t>
      </w:r>
    </w:p>
    <w:p w14:paraId="2E859CAA" w14:textId="77777777"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cena za prepravu plynu v zmysle Prílohy č. 6 (Cena za prepravu plynu).</w:t>
      </w:r>
    </w:p>
    <w:p w14:paraId="3E8AE7C3" w14:textId="308732B2"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V prípade vydania nového Rozhodnutia alebo zmeny obsahu Rozhodnutia, ktorého dôsledkom je zmena ktorejkoľvek z hodnôt FMS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VS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xml:space="preserve"> a/alebo SOP</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2B54EA" w:rsidRDefault="00416894"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Článok 7</w:t>
      </w:r>
    </w:p>
    <w:p w14:paraId="32CF5D46" w14:textId="429E5D79" w:rsidR="00416894" w:rsidRPr="002B54EA" w:rsidRDefault="00AB7B30"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 xml:space="preserve">Trvanie a ukončenie Zmluvy </w:t>
      </w:r>
    </w:p>
    <w:p w14:paraId="251F6130" w14:textId="77777777" w:rsidR="00416894" w:rsidRPr="002B54EA" w:rsidRDefault="00416894" w:rsidP="00570382">
      <w:pPr>
        <w:pStyle w:val="Odsekzoznamu"/>
        <w:spacing w:after="0" w:line="240" w:lineRule="auto"/>
        <w:ind w:left="709"/>
        <w:rPr>
          <w:rFonts w:ascii="Arial Narrow" w:hAnsi="Arial Narrow" w:cs="Times New Roman"/>
        </w:rPr>
      </w:pPr>
    </w:p>
    <w:p w14:paraId="21616C1B" w14:textId="4ECA402E" w:rsidR="00B42043" w:rsidRPr="002B54EA"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2B54EA">
        <w:rPr>
          <w:rFonts w:ascii="Arial Narrow" w:hAnsi="Arial Narrow" w:cs="Times New Roman"/>
        </w:rPr>
        <w:t xml:space="preserve">Táto Zmluva sa uzatvára na dobu určitú, na obdobie od </w:t>
      </w:r>
      <w:r w:rsidR="007B06F0">
        <w:rPr>
          <w:rFonts w:ascii="Arial Narrow" w:hAnsi="Arial Narrow" w:cs="Times New Roman"/>
        </w:rPr>
        <w:t>01.07</w:t>
      </w:r>
      <w:r w:rsidR="002B54EA" w:rsidRPr="002B54EA">
        <w:rPr>
          <w:rFonts w:ascii="Arial Narrow" w:hAnsi="Arial Narrow" w:cs="Times New Roman"/>
        </w:rPr>
        <w:t>.</w:t>
      </w:r>
      <w:r w:rsidRPr="002B54EA">
        <w:rPr>
          <w:rFonts w:ascii="Arial Narrow" w:hAnsi="Arial Narrow" w:cs="Times New Roman"/>
        </w:rPr>
        <w:t>202</w:t>
      </w:r>
      <w:r w:rsidR="001A2E11" w:rsidRPr="002B54EA">
        <w:rPr>
          <w:rFonts w:ascii="Arial Narrow" w:hAnsi="Arial Narrow" w:cs="Times New Roman"/>
        </w:rPr>
        <w:t>4</w:t>
      </w:r>
      <w:r w:rsidRPr="002B54EA">
        <w:rPr>
          <w:rFonts w:ascii="Arial Narrow" w:hAnsi="Arial Narrow" w:cs="Times New Roman"/>
        </w:rPr>
        <w:t xml:space="preserve"> do </w:t>
      </w:r>
      <w:r w:rsidR="007B06F0">
        <w:rPr>
          <w:rFonts w:ascii="Arial Narrow" w:hAnsi="Arial Narrow" w:cs="Times New Roman"/>
        </w:rPr>
        <w:t>30.06</w:t>
      </w:r>
      <w:r w:rsidRPr="002B54EA">
        <w:rPr>
          <w:rFonts w:ascii="Arial Narrow" w:hAnsi="Arial Narrow" w:cs="Times New Roman"/>
        </w:rPr>
        <w:t>.202</w:t>
      </w:r>
      <w:r w:rsidR="0078163C">
        <w:rPr>
          <w:rFonts w:ascii="Arial Narrow" w:hAnsi="Arial Narrow" w:cs="Times New Roman"/>
        </w:rPr>
        <w:t>5</w:t>
      </w:r>
    </w:p>
    <w:p w14:paraId="037162A4" w14:textId="77777777" w:rsidR="00AB7B30" w:rsidRPr="002B54EA"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2B54EA"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2B54EA">
        <w:rPr>
          <w:rFonts w:ascii="Arial Narrow" w:hAnsi="Arial Narrow" w:cs="Times New Roman"/>
        </w:rPr>
        <w:t>Túto Zmluvu je možné skončiť:</w:t>
      </w:r>
    </w:p>
    <w:p w14:paraId="10F159F8" w14:textId="77777777" w:rsidR="002B256F" w:rsidRPr="002B54EA"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2B54EA">
        <w:rPr>
          <w:rFonts w:ascii="Arial Narrow" w:hAnsi="Arial Narrow" w:cs="Times New Roman"/>
        </w:rPr>
        <w:t>písomnou dohodou Zmluvných strán, a to dňom uvedeným v takejto dohode; v dohode</w:t>
      </w:r>
      <w:r w:rsidRPr="00CE3E37">
        <w:rPr>
          <w:rFonts w:ascii="Arial Narrow" w:hAnsi="Arial Narrow" w:cs="Times New Roman"/>
        </w:rPr>
        <w:t xml:space="preserv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64FB376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9" w:anchor="paragraf-32.odsek-1.pismeno-a" w:tooltip="Odkaz na predpis alebo ustanovenie" w:history="1">
        <w:r w:rsidRPr="00CE3E37">
          <w:rPr>
            <w:rFonts w:ascii="Arial Narrow" w:hAnsi="Arial Narrow" w:cs="Times New Roman"/>
          </w:rPr>
          <w:t xml:space="preserve">§ 32 ods. 1 </w:t>
        </w:r>
        <w:r w:rsidR="003706F9">
          <w:rPr>
            <w:rFonts w:ascii="Arial Narrow" w:hAnsi="Arial Narrow" w:cs="Times New Roman"/>
          </w:rPr>
          <w:t xml:space="preserve"> </w:t>
        </w:r>
      </w:hyperlink>
      <w:r w:rsidRPr="00CE3E37">
        <w:rPr>
          <w:rFonts w:ascii="Arial Narrow" w:hAnsi="Arial Narrow" w:cs="Times New Roman"/>
        </w:rPr>
        <w:t>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2E0555C8"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w:t>
      </w:r>
      <w:r w:rsidR="002E6179">
        <w:rPr>
          <w:rFonts w:ascii="Arial Narrow" w:hAnsi="Arial Narrow" w:cs="Times New Roman"/>
        </w:rPr>
        <w:t>Z</w:t>
      </w:r>
      <w:r w:rsidRPr="00AF3241">
        <w:rPr>
          <w:rFonts w:ascii="Arial Narrow" w:hAnsi="Arial Narrow" w:cs="Times New Roman"/>
        </w:rPr>
        <w:t>ákona  o registri partnerov verejného sektora</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o registri partnerov verejného sektora</w:t>
      </w:r>
      <w:r w:rsidRPr="00482E6D">
        <w:rPr>
          <w:rFonts w:ascii="Arial Narrow" w:hAnsi="Arial Narrow" w:cs="Times New Roman"/>
        </w:rPr>
        <w:t> osoba podľa </w:t>
      </w:r>
      <w:hyperlink r:id="rId10"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r w:rsidR="002A33F6">
        <w:rPr>
          <w:rFonts w:ascii="Arial Narrow" w:hAnsi="Arial Narrow" w:cs="Times New Roman"/>
        </w:rPr>
        <w:t>,</w:t>
      </w:r>
    </w:p>
    <w:p w14:paraId="41D92455" w14:textId="73FED10E" w:rsidR="002A33F6" w:rsidRPr="00AF3241" w:rsidRDefault="002A33F6"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7777777" w:rsidR="00AB7B30" w:rsidRPr="00CE3E37" w:rsidRDefault="00AB7B30" w:rsidP="00570382">
      <w:pPr>
        <w:spacing w:after="0" w:line="240" w:lineRule="auto"/>
        <w:rPr>
          <w:rFonts w:ascii="Arial Narrow" w:hAnsi="Arial Narrow" w:cs="Times New Roman"/>
        </w:rPr>
      </w:pPr>
    </w:p>
    <w:p w14:paraId="219D49BC" w14:textId="720FE815"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9001CD">
        <w:rPr>
          <w:rFonts w:ascii="Arial Narrow" w:hAnsi="Arial Narrow" w:cs="Times New Roman"/>
        </w:rPr>
        <w:t xml:space="preserve">šesťdesiat </w:t>
      </w:r>
      <w:r w:rsidR="006F6C2C">
        <w:rPr>
          <w:rFonts w:ascii="Arial Narrow" w:hAnsi="Arial Narrow" w:cs="Times New Roman"/>
        </w:rPr>
        <w:t xml:space="preserve"> (</w:t>
      </w:r>
      <w:r w:rsidR="009001CD">
        <w:rPr>
          <w:rFonts w:ascii="Arial Narrow" w:hAnsi="Arial Narrow" w:cs="Times New Roman"/>
        </w:rPr>
        <w:t>60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AC5141">
        <w:rPr>
          <w:rFonts w:ascii="Arial Narrow" w:hAnsi="Arial Narrow" w:cs="Times New Roman"/>
          <w:b/>
          <w:i/>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4910348C" w14:textId="443C52CC" w:rsidR="0005763C" w:rsidRPr="00AC5141" w:rsidRDefault="00446FF9" w:rsidP="00AC5141">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lastRenderedPageBreak/>
        <w:t>Zmluvné strany sa dohodli, že pohľadávky vyplývajúce z tejto Zmluvy môžu byť postúpené na tretie osoby výlučne len s predchádzajúcim písomným súhlasom dlžníka pohľadávky, ktorá má byť postúpená.</w:t>
      </w:r>
    </w:p>
    <w:p w14:paraId="594143A9" w14:textId="331572E0" w:rsidR="00AC5141" w:rsidRPr="00AC5141" w:rsidRDefault="00AC5141" w:rsidP="00AC5141">
      <w:pPr>
        <w:spacing w:after="0" w:line="240" w:lineRule="auto"/>
        <w:jc w:val="both"/>
        <w:rPr>
          <w:rFonts w:ascii="Arial Narrow" w:hAnsi="Arial Narrow" w:cs="Times New Roman"/>
          <w:b/>
          <w:bCs/>
        </w:rPr>
      </w:pPr>
    </w:p>
    <w:p w14:paraId="50585AFC" w14:textId="0F850865"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D9FB77F" w:rsidR="00B42043" w:rsidRPr="00890D90" w:rsidRDefault="00B42043" w:rsidP="00B42043">
      <w:pPr>
        <w:pStyle w:val="Odsekzoznamu"/>
        <w:rPr>
          <w:rFonts w:ascii="Arial Narrow" w:hAnsi="Arial Narrow" w:cs="Times New Roman"/>
          <w:b/>
          <w:bCs/>
        </w:rPr>
      </w:pPr>
    </w:p>
    <w:p w14:paraId="7591DB27" w14:textId="3F5802C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2E6F4D7B" w:rsidR="00B42043" w:rsidRPr="00890D90" w:rsidRDefault="00B42043" w:rsidP="00B42043">
      <w:pPr>
        <w:pStyle w:val="Odsekzoznamu"/>
        <w:rPr>
          <w:rFonts w:ascii="Arial Narrow" w:hAnsi="Arial Narrow" w:cs="Times New Roman"/>
          <w:b/>
          <w:bCs/>
        </w:rPr>
      </w:pPr>
    </w:p>
    <w:p w14:paraId="1CDEDFCD" w14:textId="1D17439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20888498" w:rsidR="00B42043" w:rsidRPr="00890D90" w:rsidRDefault="00B42043" w:rsidP="00B42043">
      <w:pPr>
        <w:pStyle w:val="Odsekzoznamu"/>
        <w:rPr>
          <w:rFonts w:ascii="Arial Narrow" w:hAnsi="Arial Narrow" w:cs="Times New Roman"/>
          <w:b/>
          <w:bCs/>
        </w:rPr>
      </w:pPr>
    </w:p>
    <w:p w14:paraId="038765CC" w14:textId="3F1B874A"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00F401E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10615B66"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40BFEAA2"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6DF1E419" w14:textId="01FC2263" w:rsidR="00A42BE3" w:rsidRPr="00CE3E37" w:rsidRDefault="00D0367B" w:rsidP="002E4FDF">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4806E13" w14:textId="77777777" w:rsidR="00D53BAA"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37307F67" w14:textId="2FB29BAE" w:rsidR="00281C0D" w:rsidRPr="00CE3E37" w:rsidRDefault="00D53BAA"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w:t>
      </w:r>
      <w:r w:rsidR="00AC5141">
        <w:rPr>
          <w:rFonts w:ascii="Arial Narrow" w:hAnsi="Arial Narrow" w:cs="Times New Roman"/>
        </w:rPr>
        <w:t>ríloha č.</w:t>
      </w:r>
      <w:r>
        <w:rPr>
          <w:rFonts w:ascii="Arial Narrow" w:hAnsi="Arial Narrow" w:cs="Times New Roman"/>
        </w:rPr>
        <w:t xml:space="preserve">6  </w:t>
      </w:r>
      <w:r w:rsidR="00AC5141">
        <w:rPr>
          <w:rFonts w:ascii="Arial Narrow" w:hAnsi="Arial Narrow" w:cs="Times New Roman"/>
        </w:rPr>
        <w:tab/>
      </w:r>
      <w:r>
        <w:rPr>
          <w:rFonts w:ascii="Arial Narrow" w:hAnsi="Arial Narrow" w:cs="Times New Roman"/>
        </w:rPr>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780BCD8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Obchodn</w:t>
      </w:r>
      <w:r w:rsidR="00B76898">
        <w:rPr>
          <w:rFonts w:ascii="Arial Narrow" w:hAnsi="Arial Narrow" w:cs="Times New Roman"/>
        </w:rPr>
        <w:t>ého</w:t>
      </w:r>
      <w:r w:rsidRPr="00CE3E37">
        <w:rPr>
          <w:rFonts w:ascii="Arial Narrow" w:hAnsi="Arial Narrow" w:cs="Times New Roman"/>
        </w:rPr>
        <w:t xml:space="preserve"> zákonník</w:t>
      </w:r>
      <w:r w:rsidR="00B76898">
        <w:rPr>
          <w:rFonts w:ascii="Arial Narrow" w:hAnsi="Arial Narrow" w:cs="Times New Roman"/>
        </w:rPr>
        <w:t>a</w:t>
      </w:r>
      <w:r w:rsidRPr="00CE3E37">
        <w:rPr>
          <w:rFonts w:ascii="Arial Narrow" w:hAnsi="Arial Narrow" w:cs="Times New Roman"/>
        </w:rPr>
        <w:t xml:space="preserve">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572D1D2" w:rsidR="00B42043" w:rsidRPr="00AF3241" w:rsidRDefault="00B42043" w:rsidP="00F00239">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w:t>
      </w:r>
      <w:r w:rsidR="00F00239">
        <w:rPr>
          <w:rFonts w:ascii="Arial Narrow" w:hAnsi="Arial Narrow" w:cs="Times New Roman"/>
        </w:rPr>
        <w:t xml:space="preserve"> </w:t>
      </w:r>
      <w:r w:rsidR="00F00239" w:rsidRPr="00F00239">
        <w:rPr>
          <w:rFonts w:ascii="Arial Narrow" w:hAnsi="Arial Narrow" w:cs="Times New Roman"/>
        </w:rPr>
        <w:t xml:space="preserve">v súlade s § 47a </w:t>
      </w:r>
      <w:r w:rsidRPr="00AF3241">
        <w:rPr>
          <w:rFonts w:ascii="Arial Narrow" w:hAnsi="Arial Narrow" w:cs="Times New Roman"/>
        </w:rPr>
        <w:t xml:space="preserve"> zákon</w:t>
      </w:r>
      <w:r w:rsidR="00F00239">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08F7AFC3" w14:textId="592C83EE" w:rsidR="00415872" w:rsidRDefault="00415872" w:rsidP="007079BC">
      <w:pPr>
        <w:spacing w:after="0" w:line="240" w:lineRule="auto"/>
        <w:rPr>
          <w:rFonts w:ascii="Arial Narrow" w:hAnsi="Arial Narrow" w:cs="Times New Roman"/>
        </w:rPr>
      </w:pPr>
    </w:p>
    <w:p w14:paraId="1E4BA427" w14:textId="38EBAB99" w:rsidR="0093529E" w:rsidRDefault="0093529E" w:rsidP="00570382">
      <w:pPr>
        <w:spacing w:after="0" w:line="240" w:lineRule="auto"/>
        <w:rPr>
          <w:rFonts w:ascii="Arial Narrow" w:hAnsi="Arial Narrow" w:cs="Times New Roman"/>
        </w:rPr>
      </w:pPr>
    </w:p>
    <w:p w14:paraId="4422D629" w14:textId="0A4CA440" w:rsidR="00AC5141" w:rsidRDefault="00AC5141" w:rsidP="00570382">
      <w:pPr>
        <w:spacing w:after="0" w:line="240" w:lineRule="auto"/>
        <w:rPr>
          <w:rFonts w:ascii="Arial Narrow" w:hAnsi="Arial Narrow" w:cs="Times New Roman"/>
        </w:rPr>
      </w:pPr>
    </w:p>
    <w:p w14:paraId="3945DECD" w14:textId="1EC5E499" w:rsidR="00AC5141" w:rsidRDefault="00AC5141" w:rsidP="00570382">
      <w:pPr>
        <w:spacing w:after="0" w:line="240" w:lineRule="auto"/>
        <w:rPr>
          <w:rFonts w:ascii="Arial Narrow" w:hAnsi="Arial Narrow" w:cs="Times New Roman"/>
        </w:rPr>
      </w:pPr>
    </w:p>
    <w:p w14:paraId="28DF8193" w14:textId="6FD8B4FA" w:rsidR="00AC5141" w:rsidRDefault="00AC5141" w:rsidP="00570382">
      <w:pPr>
        <w:spacing w:after="0" w:line="240" w:lineRule="auto"/>
        <w:rPr>
          <w:rFonts w:ascii="Arial Narrow" w:hAnsi="Arial Narrow" w:cs="Times New Roman"/>
        </w:rPr>
      </w:pPr>
    </w:p>
    <w:p w14:paraId="67A3DADF" w14:textId="67932373" w:rsidR="00AC5141" w:rsidRDefault="00AC5141" w:rsidP="00570382">
      <w:pPr>
        <w:spacing w:after="0" w:line="240" w:lineRule="auto"/>
        <w:rPr>
          <w:rFonts w:ascii="Arial Narrow" w:hAnsi="Arial Narrow" w:cs="Times New Roman"/>
        </w:rPr>
      </w:pPr>
    </w:p>
    <w:p w14:paraId="12C3ECC4" w14:textId="05D7683C" w:rsidR="00AC5141" w:rsidRDefault="00AC5141" w:rsidP="00570382">
      <w:pPr>
        <w:spacing w:after="0" w:line="240" w:lineRule="auto"/>
        <w:rPr>
          <w:rFonts w:ascii="Arial Narrow" w:hAnsi="Arial Narrow" w:cs="Times New Roman"/>
        </w:rPr>
      </w:pPr>
    </w:p>
    <w:p w14:paraId="33C66F88" w14:textId="6A301825" w:rsidR="00AC5141" w:rsidRDefault="00AC5141" w:rsidP="00570382">
      <w:pPr>
        <w:spacing w:after="0" w:line="240" w:lineRule="auto"/>
        <w:rPr>
          <w:rFonts w:ascii="Arial Narrow" w:hAnsi="Arial Narrow" w:cs="Times New Roman"/>
        </w:rPr>
      </w:pPr>
    </w:p>
    <w:p w14:paraId="521B31F6" w14:textId="6FB05079" w:rsidR="00AC5141" w:rsidRDefault="00AC5141" w:rsidP="00570382">
      <w:pPr>
        <w:spacing w:after="0" w:line="240" w:lineRule="auto"/>
        <w:rPr>
          <w:rFonts w:ascii="Arial Narrow" w:hAnsi="Arial Narrow" w:cs="Times New Roman"/>
        </w:rPr>
      </w:pPr>
    </w:p>
    <w:p w14:paraId="5A0C2D24" w14:textId="140633EA" w:rsidR="00AC5141" w:rsidRDefault="00AC5141" w:rsidP="00570382">
      <w:pPr>
        <w:spacing w:after="0" w:line="240" w:lineRule="auto"/>
        <w:rPr>
          <w:rFonts w:ascii="Arial Narrow" w:hAnsi="Arial Narrow" w:cs="Times New Roman"/>
        </w:rPr>
      </w:pPr>
    </w:p>
    <w:p w14:paraId="4D0255F9" w14:textId="18F96D7C" w:rsidR="00AC5141" w:rsidRDefault="00AC5141" w:rsidP="00570382">
      <w:pPr>
        <w:spacing w:after="0" w:line="240" w:lineRule="auto"/>
        <w:rPr>
          <w:rFonts w:ascii="Arial Narrow" w:hAnsi="Arial Narrow" w:cs="Times New Roman"/>
        </w:rPr>
      </w:pPr>
    </w:p>
    <w:p w14:paraId="33E9F8D4" w14:textId="6B0EA717" w:rsidR="00AC5141" w:rsidRDefault="00AC5141" w:rsidP="00570382">
      <w:pPr>
        <w:spacing w:after="0" w:line="240" w:lineRule="auto"/>
        <w:rPr>
          <w:rFonts w:ascii="Arial Narrow" w:hAnsi="Arial Narrow" w:cs="Times New Roman"/>
        </w:rPr>
      </w:pPr>
    </w:p>
    <w:p w14:paraId="2C2CFF70" w14:textId="7AEE0B35" w:rsidR="00AC5141" w:rsidRDefault="00AC5141" w:rsidP="00570382">
      <w:pPr>
        <w:spacing w:after="0" w:line="240" w:lineRule="auto"/>
        <w:rPr>
          <w:rFonts w:ascii="Arial Narrow" w:hAnsi="Arial Narrow" w:cs="Times New Roman"/>
        </w:rPr>
      </w:pPr>
    </w:p>
    <w:p w14:paraId="1930F960" w14:textId="7C02E1C1" w:rsidR="00AC5141" w:rsidRDefault="00AC5141" w:rsidP="00570382">
      <w:pPr>
        <w:spacing w:after="0" w:line="240" w:lineRule="auto"/>
        <w:rPr>
          <w:rFonts w:ascii="Arial Narrow" w:hAnsi="Arial Narrow" w:cs="Times New Roman"/>
        </w:rPr>
      </w:pPr>
    </w:p>
    <w:p w14:paraId="159B92EA" w14:textId="4C924B64" w:rsidR="00AC5141" w:rsidRDefault="00AC5141" w:rsidP="00570382">
      <w:pPr>
        <w:spacing w:after="0" w:line="240" w:lineRule="auto"/>
        <w:rPr>
          <w:rFonts w:ascii="Arial Narrow" w:hAnsi="Arial Narrow" w:cs="Times New Roman"/>
        </w:rPr>
      </w:pPr>
    </w:p>
    <w:p w14:paraId="236311CC" w14:textId="79DE5570" w:rsidR="00AC5141" w:rsidRDefault="00AC5141" w:rsidP="00570382">
      <w:pPr>
        <w:spacing w:after="0" w:line="240" w:lineRule="auto"/>
        <w:rPr>
          <w:rFonts w:ascii="Arial Narrow" w:hAnsi="Arial Narrow" w:cs="Times New Roman"/>
        </w:rPr>
      </w:pPr>
    </w:p>
    <w:p w14:paraId="618093A2" w14:textId="2A55D81F" w:rsidR="00AC5141" w:rsidRDefault="00AC5141" w:rsidP="00570382">
      <w:pPr>
        <w:spacing w:after="0" w:line="240" w:lineRule="auto"/>
        <w:rPr>
          <w:rFonts w:ascii="Arial Narrow" w:hAnsi="Arial Narrow" w:cs="Times New Roman"/>
        </w:rPr>
      </w:pPr>
    </w:p>
    <w:p w14:paraId="3A50F6BA" w14:textId="1803850D" w:rsidR="00AC5141" w:rsidRDefault="00AC5141" w:rsidP="00570382">
      <w:pPr>
        <w:spacing w:after="0" w:line="240" w:lineRule="auto"/>
        <w:rPr>
          <w:rFonts w:ascii="Arial Narrow" w:hAnsi="Arial Narrow" w:cs="Times New Roman"/>
        </w:rPr>
      </w:pPr>
    </w:p>
    <w:p w14:paraId="5A13F925" w14:textId="0936E91B" w:rsidR="00AC5141" w:rsidRDefault="00AC5141" w:rsidP="00570382">
      <w:pPr>
        <w:spacing w:after="0" w:line="240" w:lineRule="auto"/>
        <w:rPr>
          <w:rFonts w:ascii="Arial Narrow" w:hAnsi="Arial Narrow" w:cs="Times New Roman"/>
        </w:rPr>
      </w:pPr>
    </w:p>
    <w:p w14:paraId="1A995AB2" w14:textId="2A2B8C17" w:rsidR="00AC5141" w:rsidRDefault="00AC5141" w:rsidP="00570382">
      <w:pPr>
        <w:spacing w:after="0" w:line="240" w:lineRule="auto"/>
        <w:rPr>
          <w:rFonts w:ascii="Arial Narrow" w:hAnsi="Arial Narrow" w:cs="Times New Roman"/>
        </w:rPr>
      </w:pPr>
    </w:p>
    <w:p w14:paraId="63AA28A4" w14:textId="41E5B8D5" w:rsidR="00AC5141" w:rsidRDefault="00AC5141" w:rsidP="00570382">
      <w:pPr>
        <w:spacing w:after="0" w:line="240" w:lineRule="auto"/>
        <w:rPr>
          <w:rFonts w:ascii="Arial Narrow" w:hAnsi="Arial Narrow" w:cs="Times New Roman"/>
        </w:rPr>
      </w:pPr>
    </w:p>
    <w:p w14:paraId="24F097D3" w14:textId="17423384" w:rsidR="00AC5141" w:rsidRDefault="00AC5141" w:rsidP="00570382">
      <w:pPr>
        <w:spacing w:after="0" w:line="240" w:lineRule="auto"/>
        <w:rPr>
          <w:rFonts w:ascii="Arial Narrow" w:hAnsi="Arial Narrow" w:cs="Times New Roman"/>
        </w:rPr>
      </w:pPr>
    </w:p>
    <w:p w14:paraId="61BEFC48" w14:textId="77777777" w:rsidR="00AC5141" w:rsidRPr="00CE3E37" w:rsidRDefault="00AC5141"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EA80227" w14:textId="12CF3106" w:rsidR="007079BC" w:rsidRPr="00F04556" w:rsidRDefault="007079BC" w:rsidP="007079BC">
      <w:pPr>
        <w:spacing w:after="0" w:line="240" w:lineRule="auto"/>
        <w:jc w:val="both"/>
        <w:rPr>
          <w:rFonts w:ascii="Arial Narrow" w:hAnsi="Arial Narrow"/>
          <w:u w:val="single"/>
        </w:rPr>
      </w:pPr>
      <w:r w:rsidRPr="00F04556">
        <w:rPr>
          <w:rFonts w:ascii="Arial Narrow" w:hAnsi="Arial Narrow"/>
          <w:u w:val="single"/>
        </w:rPr>
        <w:t>Zabezpečenie nákupu, dodávky a distribúcie plynu pre potreby rezortu MZ SR výzva č.</w:t>
      </w:r>
      <w:r w:rsidR="0078163C">
        <w:rPr>
          <w:rFonts w:ascii="Arial Narrow" w:hAnsi="Arial Narrow"/>
          <w:u w:val="single"/>
        </w:rPr>
        <w:t xml:space="preserve"> 4</w:t>
      </w:r>
      <w:r w:rsidR="00AC5141">
        <w:rPr>
          <w:rFonts w:ascii="Arial Narrow" w:hAnsi="Arial Narrow"/>
          <w:u w:val="single"/>
        </w:rPr>
        <w:t>/2024</w:t>
      </w:r>
    </w:p>
    <w:p w14:paraId="2E67621E" w14:textId="77777777" w:rsidR="007079BC" w:rsidRDefault="007079BC" w:rsidP="007079BC">
      <w:pPr>
        <w:spacing w:after="0" w:line="240" w:lineRule="auto"/>
        <w:jc w:val="both"/>
        <w:rPr>
          <w:rFonts w:ascii="Arial Narrow" w:hAnsi="Arial Narrow"/>
        </w:rPr>
      </w:pPr>
    </w:p>
    <w:p w14:paraId="4F2BEB7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Predmetom zákaziek zadávaných v DNS v rámci kategórie č. 2 je zabezpečenie služieb nákupu, dodávky a distribúcie zemného plynu (plynu) podľa konkrétnych potrieb Prijímateľov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14:paraId="62F53AE0" w14:textId="77777777" w:rsidR="007079BC" w:rsidRDefault="007079BC" w:rsidP="007079BC">
      <w:pPr>
        <w:spacing w:after="0" w:line="240" w:lineRule="auto"/>
        <w:jc w:val="both"/>
        <w:rPr>
          <w:rFonts w:ascii="Arial Narrow" w:hAnsi="Arial Narrow"/>
        </w:rPr>
      </w:pPr>
    </w:p>
    <w:p w14:paraId="74E08CDF"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komplexné služby súvisiace s pravidelnou bezpečnou, stabilnou a komplexnou dodávkou plynu do odberných miest odberateľov vrátane prevzatia zodpovednosti za odchýlky voči zúčtovateľovi odchýlok za každé odberné miesto odberateľov za podmienok stanovených v Zmluve. </w:t>
      </w:r>
    </w:p>
    <w:p w14:paraId="65893D9F" w14:textId="77777777" w:rsidR="007079BC" w:rsidRDefault="007079BC" w:rsidP="007079BC">
      <w:pPr>
        <w:spacing w:after="0" w:line="240" w:lineRule="auto"/>
        <w:jc w:val="both"/>
        <w:rPr>
          <w:rFonts w:ascii="Arial Narrow" w:hAnsi="Arial Narrow"/>
        </w:rPr>
      </w:pPr>
    </w:p>
    <w:p w14:paraId="5D0DEB4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7A07FFEC" w14:textId="77777777" w:rsidR="007079BC" w:rsidRDefault="007079BC" w:rsidP="007079BC">
      <w:pPr>
        <w:spacing w:after="0" w:line="240" w:lineRule="auto"/>
        <w:jc w:val="both"/>
        <w:rPr>
          <w:rFonts w:ascii="Arial Narrow" w:hAnsi="Arial Narrow"/>
        </w:rPr>
      </w:pPr>
    </w:p>
    <w:p w14:paraId="1FF1E79D"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službu elektronického portálu zriadenú pre Prijímateľov. Prostredníctvom služby elektronického portálu môže používateľ využívať informácie o svojich odberných miestach, histórii spotreby. </w:t>
      </w:r>
    </w:p>
    <w:p w14:paraId="1E4F34A6" w14:textId="77777777" w:rsidR="007079BC" w:rsidRDefault="007079BC" w:rsidP="007079BC">
      <w:pPr>
        <w:spacing w:after="0" w:line="240" w:lineRule="auto"/>
        <w:jc w:val="both"/>
        <w:rPr>
          <w:rFonts w:ascii="Arial Narrow" w:hAnsi="Arial Narrow"/>
        </w:rPr>
      </w:pPr>
    </w:p>
    <w:p w14:paraId="5FA38A23" w14:textId="27D65115" w:rsidR="007079BC" w:rsidRPr="007079BC" w:rsidRDefault="007079BC" w:rsidP="007079BC">
      <w:pPr>
        <w:spacing w:after="0" w:line="240" w:lineRule="auto"/>
        <w:jc w:val="both"/>
        <w:rPr>
          <w:rFonts w:ascii="Arial Narrow" w:hAnsi="Arial Narrow" w:cs="Times New Roman"/>
          <w:b/>
          <w:bCs/>
        </w:rPr>
      </w:pPr>
      <w:r w:rsidRPr="007079BC">
        <w:rPr>
          <w:rFonts w:ascii="Arial Narrow" w:hAnsi="Arial Narrow"/>
        </w:rPr>
        <w:t>Dodávateľ zabezpečí možnosť spoločnej fakturácie za viacero odberných miest v správe jedného Prijímateľa, pričom predmetom fakturácie budú aj služby za distribúciu plynu. Dodávateľ zabezpečí individuálnu klientsku starostlivosť a poradenstvo pre Prijímateľov zamerané na znižovanie spotreby plynu</w:t>
      </w:r>
      <w:r w:rsidR="001F59EB">
        <w:rPr>
          <w:rFonts w:ascii="Arial Narrow" w:hAnsi="Arial Narrow"/>
        </w:rPr>
        <w:t>.</w:t>
      </w:r>
    </w:p>
    <w:p w14:paraId="1FF745A5" w14:textId="77777777" w:rsidR="007079BC" w:rsidRPr="00CE3E37" w:rsidRDefault="007079BC" w:rsidP="007079BC">
      <w:pPr>
        <w:spacing w:after="0" w:line="240" w:lineRule="auto"/>
        <w:rPr>
          <w:rFonts w:ascii="Arial Narrow" w:hAnsi="Arial Narrow" w:cs="Times New Roman"/>
          <w:b/>
          <w:bCs/>
        </w:rPr>
      </w:pPr>
    </w:p>
    <w:p w14:paraId="6C37981D" w14:textId="77777777" w:rsidR="007079BC" w:rsidRPr="00CE3E37" w:rsidRDefault="007079BC" w:rsidP="007079BC">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31FC5D8D" w14:textId="0AB01B2B" w:rsidR="001348BC" w:rsidRDefault="001348BC" w:rsidP="00570382">
      <w:pPr>
        <w:spacing w:after="0" w:line="240" w:lineRule="auto"/>
        <w:rPr>
          <w:rFonts w:ascii="Arial Narrow" w:eastAsia="Arial Narrow" w:hAnsi="Arial Narrow" w:cs="Arial Narrow"/>
        </w:rPr>
      </w:pPr>
    </w:p>
    <w:p w14:paraId="210F05DB" w14:textId="77777777" w:rsidR="007079BC" w:rsidRDefault="007079BC" w:rsidP="00570382">
      <w:pPr>
        <w:spacing w:after="0" w:line="240" w:lineRule="auto"/>
        <w:rPr>
          <w:rFonts w:ascii="Arial Narrow" w:hAnsi="Arial Narrow" w:cs="Times New Roman"/>
        </w:rPr>
      </w:pPr>
    </w:p>
    <w:p w14:paraId="247E8E21"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1" w:name="bookmark60"/>
      <w:r w:rsidRPr="007079BC">
        <w:rPr>
          <w:rFonts w:ascii="Arial Narrow" w:eastAsia="Arial Narrow" w:hAnsi="Arial Narrow" w:cs="Arial Narrow"/>
          <w:b/>
          <w:bCs/>
          <w:color w:val="000000"/>
          <w:lang w:eastAsia="sk-SK" w:bidi="sk-SK"/>
        </w:rPr>
        <w:t xml:space="preserve">Spôsob </w:t>
      </w:r>
      <w:r w:rsidRPr="007079BC">
        <w:rPr>
          <w:rFonts w:ascii="Arial Narrow" w:eastAsia="Arial Narrow" w:hAnsi="Arial Narrow" w:cs="Arial Narrow"/>
          <w:b/>
          <w:bCs/>
          <w:color w:val="000000"/>
          <w:lang w:eastAsia="cs-CZ" w:bidi="cs-CZ"/>
        </w:rPr>
        <w:t>a podmienky fakturácie</w:t>
      </w:r>
      <w:bookmarkEnd w:id="1"/>
    </w:p>
    <w:p w14:paraId="261F46EE"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Cenu za dodávku plynu a distribučné služby je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sidRPr="007079BC">
        <w:rPr>
          <w:rFonts w:ascii="Arial Narrow" w:eastAsia="Arial Narrow" w:hAnsi="Arial Narrow" w:cs="Arial Narrow"/>
          <w:color w:val="000000"/>
          <w:lang w:eastAsia="sk-SK" w:bidi="sk-SK"/>
        </w:rPr>
        <w:t xml:space="preserve">môžu </w:t>
      </w:r>
      <w:r w:rsidRPr="007079BC">
        <w:rPr>
          <w:rFonts w:ascii="Arial Narrow" w:eastAsia="Arial Narrow" w:hAnsi="Arial Narrow" w:cs="Arial Narrow"/>
          <w:color w:val="000000"/>
          <w:lang w:eastAsia="cs-CZ" w:bidi="cs-CZ"/>
        </w:rPr>
        <w:t>priebežne počas trvania Zmluvy dohodnúť na zmene začlenenia jednotlivých odberných miest do spoločnej fakturácie.</w:t>
      </w:r>
    </w:p>
    <w:p w14:paraId="18F0E21E" w14:textId="77777777" w:rsidR="007079BC" w:rsidRPr="007079BC" w:rsidRDefault="007079BC" w:rsidP="007079BC">
      <w:pPr>
        <w:widowControl w:val="0"/>
        <w:numPr>
          <w:ilvl w:val="1"/>
          <w:numId w:val="26"/>
        </w:numPr>
        <w:tabs>
          <w:tab w:val="left" w:pos="427"/>
        </w:tabs>
        <w:spacing w:after="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Faktúry sa vystavujú spoločne za dodávku plynu a distribučné služby.</w:t>
      </w:r>
    </w:p>
    <w:p w14:paraId="6C1F619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sidRPr="007079BC">
        <w:rPr>
          <w:rFonts w:ascii="Arial Narrow" w:eastAsia="Arial Narrow" w:hAnsi="Arial Narrow" w:cs="Arial Narrow"/>
          <w:color w:val="000000"/>
          <w:lang w:eastAsia="sk-SK" w:bidi="sk-SK"/>
        </w:rPr>
        <w:t xml:space="preserve">podľa </w:t>
      </w:r>
      <w:r w:rsidRPr="007079BC">
        <w:rPr>
          <w:rFonts w:ascii="Arial Narrow" w:eastAsia="Arial Narrow" w:hAnsi="Arial Narrow" w:cs="Arial Narrow"/>
          <w:color w:val="000000"/>
          <w:lang w:eastAsia="cs-CZ" w:bidi="cs-CZ"/>
        </w:rPr>
        <w:t>z. č. 251/2012 Z. z. o energetike a o zmene a doplnení niektorých zákonov.</w:t>
      </w:r>
    </w:p>
    <w:p w14:paraId="0AEF4BF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plynu 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sidRPr="007079BC">
        <w:rPr>
          <w:rFonts w:ascii="Arial Narrow" w:eastAsia="Arial Narrow" w:hAnsi="Arial Narrow" w:cs="Arial Narrow"/>
          <w:color w:val="000000"/>
          <w:lang w:eastAsia="sk-SK" w:bidi="sk-SK"/>
        </w:rPr>
        <w:t xml:space="preserve">spôsob </w:t>
      </w:r>
      <w:r w:rsidRPr="007079BC">
        <w:rPr>
          <w:rFonts w:ascii="Arial Narrow" w:eastAsia="Arial Narrow" w:hAnsi="Arial Narrow" w:cs="Arial Narrow"/>
          <w:color w:val="000000"/>
          <w:lang w:eastAsia="cs-CZ" w:bidi="cs-CZ"/>
        </w:rPr>
        <w:t xml:space="preserve">platieb preddavkov sa </w:t>
      </w:r>
      <w:r w:rsidRPr="007079BC">
        <w:rPr>
          <w:rFonts w:ascii="Arial Narrow" w:eastAsia="Arial Narrow" w:hAnsi="Arial Narrow" w:cs="Arial Narrow"/>
          <w:color w:val="000000"/>
          <w:lang w:eastAsia="sk-SK" w:bidi="sk-SK"/>
        </w:rPr>
        <w:t xml:space="preserve">môže </w:t>
      </w:r>
      <w:r w:rsidRPr="007079BC">
        <w:rPr>
          <w:rFonts w:ascii="Arial Narrow" w:eastAsia="Arial Narrow" w:hAnsi="Arial Narrow" w:cs="Arial Narrow"/>
          <w:color w:val="000000"/>
          <w:lang w:eastAsia="cs-CZ" w:bidi="cs-CZ"/>
        </w:rPr>
        <w:t>počas trvania Zmluvy zmeniť po dohode Zmluvných strán.</w:t>
      </w:r>
    </w:p>
    <w:p w14:paraId="19417362"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ročným odpočtom </w:t>
      </w:r>
      <w:r w:rsidRPr="007079BC">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rok.</w:t>
      </w:r>
    </w:p>
    <w:p w14:paraId="7EF442BA"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mesačným odpočtom </w:t>
      </w:r>
      <w:r w:rsidRPr="007079BC">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mesiac.</w:t>
      </w:r>
    </w:p>
    <w:p w14:paraId="7BB0C863"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uhradí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 xml:space="preserve">vyfakturovaný nedoplatok v lehote splatnosti faktúry.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vráti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vyfakturovaný preplatok na účet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 termíne do dátumu splatnosti faktúry.</w:t>
      </w:r>
    </w:p>
    <w:p w14:paraId="480470AE" w14:textId="77777777" w:rsidR="007079BC" w:rsidRPr="007079BC" w:rsidRDefault="007079BC" w:rsidP="007079BC">
      <w:pPr>
        <w:widowControl w:val="0"/>
        <w:numPr>
          <w:ilvl w:val="1"/>
          <w:numId w:val="26"/>
        </w:numPr>
        <w:tabs>
          <w:tab w:val="left" w:pos="427"/>
        </w:tabs>
        <w:spacing w:after="50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Splatnosť faktúry je 30 dní odo dňa riadneho doručenia faktúry </w:t>
      </w:r>
      <w:r w:rsidRPr="007079BC">
        <w:rPr>
          <w:rFonts w:ascii="Arial Narrow" w:eastAsia="Arial Narrow" w:hAnsi="Arial Narrow" w:cs="Arial Narrow"/>
          <w:color w:val="000000"/>
          <w:lang w:eastAsia="sk-SK" w:bidi="sk-SK"/>
        </w:rPr>
        <w:t>Objednávateľovi.</w:t>
      </w:r>
    </w:p>
    <w:p w14:paraId="6D63A0A5"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2" w:name="bookmark62"/>
      <w:r w:rsidRPr="007079BC">
        <w:rPr>
          <w:rFonts w:ascii="Arial Narrow" w:eastAsia="Arial Narrow" w:hAnsi="Arial Narrow" w:cs="Arial Narrow"/>
          <w:b/>
          <w:bCs/>
          <w:color w:val="000000"/>
          <w:lang w:eastAsia="cs-CZ" w:bidi="cs-CZ"/>
        </w:rPr>
        <w:t>Ďalšie podmienky poskytovania predmetu zákazky</w:t>
      </w:r>
      <w:bookmarkEnd w:id="2"/>
    </w:p>
    <w:p w14:paraId="2216C730" w14:textId="48C01913"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zabezpečiť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uvedené v prílohe č. 2 tejto </w:t>
      </w:r>
      <w:r w:rsidRPr="002B54EA">
        <w:rPr>
          <w:rFonts w:ascii="Arial Narrow" w:eastAsia="Arial Narrow" w:hAnsi="Arial Narrow" w:cs="Arial Narrow"/>
          <w:color w:val="000000"/>
          <w:lang w:eastAsia="cs-CZ" w:bidi="cs-CZ"/>
        </w:rPr>
        <w:t xml:space="preserve">Zmluvy, v čase </w:t>
      </w:r>
      <w:r w:rsidR="00007268" w:rsidRPr="002B54EA">
        <w:rPr>
          <w:rFonts w:ascii="Arial Narrow" w:eastAsia="Arial Narrow" w:hAnsi="Arial Narrow" w:cs="Arial Narrow"/>
          <w:b/>
          <w:bCs/>
          <w:color w:val="000000"/>
          <w:lang w:eastAsia="cs-CZ" w:bidi="cs-CZ"/>
        </w:rPr>
        <w:t xml:space="preserve">od </w:t>
      </w:r>
      <w:r w:rsidR="007B06F0">
        <w:rPr>
          <w:rFonts w:ascii="Arial Narrow" w:eastAsia="Arial Narrow" w:hAnsi="Arial Narrow" w:cs="Arial Narrow"/>
          <w:b/>
          <w:bCs/>
          <w:color w:val="000000"/>
          <w:lang w:eastAsia="cs-CZ" w:bidi="cs-CZ"/>
        </w:rPr>
        <w:t>01.07</w:t>
      </w:r>
      <w:r w:rsidR="0078163C">
        <w:rPr>
          <w:rFonts w:ascii="Arial Narrow" w:eastAsia="Arial Narrow" w:hAnsi="Arial Narrow" w:cs="Arial Narrow"/>
          <w:b/>
          <w:bCs/>
          <w:color w:val="000000"/>
          <w:lang w:eastAsia="cs-CZ" w:bidi="cs-CZ"/>
        </w:rPr>
        <w:t>.</w:t>
      </w:r>
      <w:r w:rsidRPr="002B54EA">
        <w:rPr>
          <w:rFonts w:ascii="Arial Narrow" w:eastAsia="Arial Narrow" w:hAnsi="Arial Narrow" w:cs="Arial Narrow"/>
          <w:b/>
          <w:bCs/>
          <w:color w:val="000000"/>
          <w:lang w:eastAsia="cs-CZ" w:bidi="cs-CZ"/>
        </w:rPr>
        <w:t>202</w:t>
      </w:r>
      <w:r w:rsidR="00AC5141" w:rsidRPr="002B54EA">
        <w:rPr>
          <w:rFonts w:ascii="Arial Narrow" w:eastAsia="Arial Narrow" w:hAnsi="Arial Narrow" w:cs="Arial Narrow"/>
          <w:b/>
          <w:bCs/>
          <w:color w:val="000000"/>
          <w:lang w:eastAsia="cs-CZ" w:bidi="cs-CZ"/>
        </w:rPr>
        <w:t>4</w:t>
      </w:r>
      <w:r w:rsidR="007B06F0">
        <w:rPr>
          <w:rFonts w:ascii="Arial Narrow" w:eastAsia="Arial Narrow" w:hAnsi="Arial Narrow" w:cs="Arial Narrow"/>
          <w:b/>
          <w:bCs/>
          <w:color w:val="000000"/>
          <w:lang w:eastAsia="cs-CZ" w:bidi="cs-CZ"/>
        </w:rPr>
        <w:t xml:space="preserve"> 00:00:00 hodiny do 30.06</w:t>
      </w:r>
      <w:r w:rsidRPr="002B54EA">
        <w:rPr>
          <w:rFonts w:ascii="Arial Narrow" w:eastAsia="Arial Narrow" w:hAnsi="Arial Narrow" w:cs="Arial Narrow"/>
          <w:b/>
          <w:bCs/>
          <w:color w:val="000000"/>
          <w:lang w:eastAsia="cs-CZ" w:bidi="cs-CZ"/>
        </w:rPr>
        <w:t>.202</w:t>
      </w:r>
      <w:r w:rsidR="0078163C">
        <w:rPr>
          <w:rFonts w:ascii="Arial Narrow" w:eastAsia="Arial Narrow" w:hAnsi="Arial Narrow" w:cs="Arial Narrow"/>
          <w:b/>
          <w:bCs/>
          <w:color w:val="000000"/>
          <w:lang w:eastAsia="cs-CZ" w:bidi="cs-CZ"/>
        </w:rPr>
        <w:t>5</w:t>
      </w:r>
      <w:r w:rsidRPr="002B54EA">
        <w:rPr>
          <w:rFonts w:ascii="Arial Narrow" w:eastAsia="Arial Narrow" w:hAnsi="Arial Narrow" w:cs="Arial Narrow"/>
          <w:b/>
          <w:bCs/>
          <w:color w:val="000000"/>
          <w:lang w:eastAsia="cs-CZ" w:bidi="cs-CZ"/>
        </w:rPr>
        <w:t xml:space="preserve"> 24:00:00 hodiny.</w:t>
      </w:r>
    </w:p>
    <w:p w14:paraId="5EE44FFB"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Objednávateľ </w:t>
      </w:r>
      <w:r w:rsidRPr="002B54EA">
        <w:rPr>
          <w:rFonts w:ascii="Arial Narrow" w:eastAsia="Arial Narrow" w:hAnsi="Arial Narrow" w:cs="Arial Narrow"/>
          <w:color w:val="000000"/>
          <w:lang w:eastAsia="cs-CZ" w:bidi="cs-CZ"/>
        </w:rPr>
        <w:t xml:space="preserve">bude mať zabezpečenú individuálnu klientskú starostlivosť/obsluhu pre všetky odberné miesta uvedené v prílohe č. 2 tejto Zmluvy zahrňujúcu aj odbornú podporu pri pripájaní nových odberných miest </w:t>
      </w:r>
      <w:r w:rsidRPr="002B54EA">
        <w:rPr>
          <w:rFonts w:ascii="Arial Narrow" w:eastAsia="Arial Narrow" w:hAnsi="Arial Narrow" w:cs="Arial Narrow"/>
          <w:color w:val="000000"/>
          <w:lang w:eastAsia="sk-SK" w:bidi="sk-SK"/>
        </w:rPr>
        <w:t xml:space="preserve">Objednávateľa. </w:t>
      </w:r>
      <w:r w:rsidRPr="002B54EA">
        <w:rPr>
          <w:rFonts w:ascii="Arial Narrow" w:eastAsia="Arial Narrow" w:hAnsi="Arial Narrow" w:cs="Arial Narrow"/>
          <w:color w:val="000000"/>
          <w:lang w:eastAsia="cs-CZ" w:bidi="cs-CZ"/>
        </w:rPr>
        <w:t>Vzájomná komunikácia musí byť v slovenskom jazyku.</w:t>
      </w:r>
    </w:p>
    <w:p w14:paraId="77DD3E53"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Poskytovateľ </w:t>
      </w:r>
      <w:r w:rsidRPr="002B54EA">
        <w:rPr>
          <w:rFonts w:ascii="Arial Narrow" w:eastAsia="Arial Narrow" w:hAnsi="Arial Narrow" w:cs="Arial Narrow"/>
          <w:color w:val="000000"/>
          <w:lang w:eastAsia="cs-CZ" w:bidi="cs-CZ"/>
        </w:rPr>
        <w:t xml:space="preserve">sa </w:t>
      </w:r>
      <w:r w:rsidRPr="002B54EA">
        <w:rPr>
          <w:rFonts w:ascii="Arial Narrow" w:eastAsia="Arial Narrow" w:hAnsi="Arial Narrow" w:cs="Arial Narrow"/>
          <w:color w:val="000000"/>
          <w:lang w:eastAsia="sk-SK" w:bidi="sk-SK"/>
        </w:rPr>
        <w:t xml:space="preserve">zaväzuje </w:t>
      </w:r>
      <w:r w:rsidRPr="002B54EA">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sidRPr="002B54EA">
        <w:rPr>
          <w:rFonts w:ascii="Arial Narrow" w:eastAsia="Arial Narrow" w:hAnsi="Arial Narrow" w:cs="Arial Narrow"/>
          <w:color w:val="000000"/>
          <w:lang w:eastAsia="sk-SK" w:bidi="sk-SK"/>
        </w:rPr>
        <w:t>môž</w:t>
      </w:r>
      <w:bookmarkStart w:id="3" w:name="_GoBack"/>
      <w:bookmarkEnd w:id="3"/>
      <w:r w:rsidRPr="002B54EA">
        <w:rPr>
          <w:rFonts w:ascii="Arial Narrow" w:eastAsia="Arial Narrow" w:hAnsi="Arial Narrow" w:cs="Arial Narrow"/>
          <w:color w:val="000000"/>
          <w:lang w:eastAsia="sk-SK" w:bidi="sk-SK"/>
        </w:rPr>
        <w:t xml:space="preserve">e používateľ </w:t>
      </w:r>
      <w:r w:rsidRPr="002B54EA">
        <w:rPr>
          <w:rFonts w:ascii="Arial Narrow" w:eastAsia="Arial Narrow" w:hAnsi="Arial Narrow" w:cs="Arial Narrow"/>
          <w:color w:val="000000"/>
          <w:lang w:eastAsia="cs-CZ" w:bidi="cs-CZ"/>
        </w:rPr>
        <w:t>využívať informácie o svojich odberných miestach, histórii spotreby.</w:t>
      </w:r>
    </w:p>
    <w:p w14:paraId="7DACF6CD" w14:textId="77777777" w:rsidR="007079BC" w:rsidRPr="007079BC" w:rsidRDefault="007079BC" w:rsidP="007079BC">
      <w:pPr>
        <w:widowControl w:val="0"/>
        <w:spacing w:after="0" w:line="240" w:lineRule="auto"/>
        <w:ind w:left="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Prístupové práva na prístup do elektronického portálu pre kontaktnú osobu uvedenú v bode 3.17 Zmluvy.</w:t>
      </w:r>
    </w:p>
    <w:p w14:paraId="6F851207"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záujmu o poradenstvo zamerané na znižovanie nákladov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spojených s dodávkou plynu do odberných miest optimalizáciou charakteru odberu, bude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povinný písomne požiadať </w:t>
      </w:r>
      <w:r w:rsidRPr="007079BC">
        <w:rPr>
          <w:rFonts w:ascii="Arial Narrow" w:eastAsia="Arial Narrow" w:hAnsi="Arial Narrow" w:cs="Arial Narrow"/>
          <w:color w:val="000000"/>
          <w:lang w:eastAsia="sk-SK" w:bidi="sk-SK"/>
        </w:rPr>
        <w:t xml:space="preserve">Poskytovateľa </w:t>
      </w:r>
      <w:r w:rsidRPr="007079BC">
        <w:rPr>
          <w:rFonts w:ascii="Arial Narrow" w:eastAsia="Arial Narrow" w:hAnsi="Arial Narrow" w:cs="Arial Narrow"/>
          <w:color w:val="000000"/>
          <w:lang w:eastAsia="cs-CZ" w:bidi="cs-CZ"/>
        </w:rPr>
        <w:t xml:space="preserve">o poskytovanie bezplatného poradenstva a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bude povinný mu ho poskytovať.</w:t>
      </w:r>
    </w:p>
    <w:p w14:paraId="5F11849C"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14:paraId="3E194E6E" w14:textId="77777777" w:rsidR="007079BC" w:rsidRPr="007079BC" w:rsidRDefault="007079BC" w:rsidP="007079BC">
      <w:pPr>
        <w:widowControl w:val="0"/>
        <w:numPr>
          <w:ilvl w:val="1"/>
          <w:numId w:val="26"/>
        </w:numPr>
        <w:tabs>
          <w:tab w:val="left" w:pos="466"/>
        </w:tabs>
        <w:spacing w:after="14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ukončenia odberu plynu na niektorom odbernom mieste uvedenom v prílohe č. 2 tejto Realizačnej zmluvy je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zrušenie tohto miesta povinný oznámiť </w:t>
      </w:r>
      <w:r w:rsidRPr="007079BC">
        <w:rPr>
          <w:rFonts w:ascii="Arial Narrow" w:eastAsia="Arial Narrow" w:hAnsi="Arial Narrow" w:cs="Arial Narrow"/>
          <w:color w:val="000000"/>
          <w:lang w:eastAsia="sk-SK" w:bidi="sk-SK"/>
        </w:rPr>
        <w:t xml:space="preserve">Poskytovateľovi najneskôr </w:t>
      </w:r>
      <w:r w:rsidRPr="007079BC">
        <w:rPr>
          <w:rFonts w:ascii="Arial Narrow" w:eastAsia="Arial Narrow" w:hAnsi="Arial Narrow" w:cs="Arial Narrow"/>
          <w:color w:val="000000"/>
          <w:lang w:eastAsia="cs-CZ" w:bidi="cs-CZ"/>
        </w:rPr>
        <w:t>do 30 dní pred predpokladaným ukončením odberu plynu a taktiež túto zmenu riešiť dodatkom k Zmluve.</w:t>
      </w:r>
    </w:p>
    <w:p w14:paraId="6BE2B22B" w14:textId="77777777" w:rsidR="007079BC" w:rsidRPr="007079BC" w:rsidRDefault="007079BC" w:rsidP="007079BC">
      <w:pPr>
        <w:spacing w:after="0" w:line="240" w:lineRule="auto"/>
        <w:jc w:val="center"/>
        <w:rPr>
          <w:rFonts w:ascii="Arial Narrow" w:hAnsi="Arial Narrow" w:cs="Times New Roman"/>
          <w:b/>
          <w:bCs/>
        </w:rPr>
      </w:pPr>
    </w:p>
    <w:p w14:paraId="1A1900C0" w14:textId="0DE5293D" w:rsidR="001E152E" w:rsidRDefault="001E152E" w:rsidP="00570382">
      <w:pPr>
        <w:spacing w:after="0" w:line="240" w:lineRule="auto"/>
        <w:rPr>
          <w:rFonts w:ascii="Arial Narrow" w:hAnsi="Arial Narrow" w:cs="Times New Roman"/>
        </w:rPr>
      </w:pPr>
    </w:p>
    <w:p w14:paraId="2B6BB8E4" w14:textId="77777777" w:rsidR="007079BC" w:rsidRDefault="007079BC" w:rsidP="00570382">
      <w:pPr>
        <w:spacing w:after="0" w:line="240" w:lineRule="auto"/>
        <w:rPr>
          <w:rFonts w:ascii="Arial Narrow" w:hAnsi="Arial Narrow" w:cs="Times New Roman"/>
        </w:rPr>
      </w:pPr>
    </w:p>
    <w:p w14:paraId="4A4CF504" w14:textId="7F54A8CA"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0ECFF5F5" w:rsidR="00D53BAA"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47FC1C84" w14:textId="77777777" w:rsidR="00D53BAA" w:rsidRPr="00D53BAA" w:rsidRDefault="00D53BAA" w:rsidP="00D837CF">
      <w:pPr>
        <w:rPr>
          <w:rFonts w:ascii="Arial Narrow" w:hAnsi="Arial Narrow" w:cs="Times New Roman"/>
        </w:rPr>
      </w:pPr>
    </w:p>
    <w:p w14:paraId="55A9AC04" w14:textId="77777777" w:rsidR="00D53BAA" w:rsidRPr="00D837CF" w:rsidRDefault="00D53BAA" w:rsidP="00D837CF">
      <w:pPr>
        <w:rPr>
          <w:rFonts w:ascii="Arial Narrow" w:hAnsi="Arial Narrow" w:cs="Times New Roman"/>
        </w:rPr>
      </w:pPr>
    </w:p>
    <w:p w14:paraId="47D686B4" w14:textId="77777777" w:rsidR="00D53BAA" w:rsidRPr="00D837CF" w:rsidRDefault="00D53BAA" w:rsidP="00D837CF">
      <w:pPr>
        <w:rPr>
          <w:rFonts w:ascii="Arial Narrow" w:hAnsi="Arial Narrow" w:cs="Times New Roman"/>
        </w:rPr>
      </w:pPr>
    </w:p>
    <w:p w14:paraId="2405E891" w14:textId="77777777" w:rsidR="00D53BAA" w:rsidRPr="00D837CF" w:rsidRDefault="00D53BAA" w:rsidP="00D837CF">
      <w:pPr>
        <w:rPr>
          <w:rFonts w:ascii="Arial Narrow" w:hAnsi="Arial Narrow" w:cs="Times New Roman"/>
        </w:rPr>
      </w:pPr>
    </w:p>
    <w:p w14:paraId="4FFEE5E6" w14:textId="77777777" w:rsidR="00D53BAA" w:rsidRPr="00D837CF" w:rsidRDefault="00D53BAA" w:rsidP="00D837CF">
      <w:pPr>
        <w:rPr>
          <w:rFonts w:ascii="Arial Narrow" w:hAnsi="Arial Narrow" w:cs="Times New Roman"/>
        </w:rPr>
      </w:pPr>
    </w:p>
    <w:p w14:paraId="5CAFF567" w14:textId="77777777" w:rsidR="00D53BAA" w:rsidRPr="00D837CF" w:rsidRDefault="00D53BAA" w:rsidP="00D837CF">
      <w:pPr>
        <w:rPr>
          <w:rFonts w:ascii="Arial Narrow" w:hAnsi="Arial Narrow" w:cs="Times New Roman"/>
        </w:rPr>
      </w:pPr>
    </w:p>
    <w:p w14:paraId="21B4322C" w14:textId="77777777" w:rsidR="00D53BAA" w:rsidRPr="00D837CF" w:rsidRDefault="00D53BAA" w:rsidP="00D837CF">
      <w:pPr>
        <w:rPr>
          <w:rFonts w:ascii="Arial Narrow" w:hAnsi="Arial Narrow" w:cs="Times New Roman"/>
        </w:rPr>
      </w:pPr>
    </w:p>
    <w:p w14:paraId="1FB892BA" w14:textId="77777777" w:rsidR="00D53BAA" w:rsidRPr="007079BC" w:rsidRDefault="00D53BAA" w:rsidP="00D837CF">
      <w:pPr>
        <w:rPr>
          <w:rFonts w:ascii="Arial Narrow" w:hAnsi="Arial Narrow" w:cs="Times New Roman"/>
        </w:rPr>
      </w:pPr>
    </w:p>
    <w:p w14:paraId="18E8204F" w14:textId="77777777" w:rsidR="00D53BAA" w:rsidRPr="007079BC" w:rsidRDefault="00D53BAA" w:rsidP="00D837CF">
      <w:pPr>
        <w:rPr>
          <w:rFonts w:ascii="Arial Narrow" w:hAnsi="Arial Narrow" w:cs="Times New Roman"/>
        </w:rPr>
      </w:pPr>
    </w:p>
    <w:p w14:paraId="67AAF760" w14:textId="77777777" w:rsidR="00D53BAA" w:rsidRPr="007079BC" w:rsidRDefault="00D53BAA" w:rsidP="00D837CF">
      <w:pPr>
        <w:rPr>
          <w:rFonts w:ascii="Arial Narrow" w:hAnsi="Arial Narrow" w:cs="Times New Roman"/>
        </w:rPr>
      </w:pPr>
    </w:p>
    <w:p w14:paraId="6A7CC03F" w14:textId="77777777" w:rsidR="00D53BAA" w:rsidRPr="007079BC" w:rsidRDefault="00D53BAA" w:rsidP="00D837CF">
      <w:pPr>
        <w:rPr>
          <w:rFonts w:ascii="Arial Narrow" w:hAnsi="Arial Narrow" w:cs="Times New Roman"/>
        </w:rPr>
      </w:pPr>
    </w:p>
    <w:p w14:paraId="3B17E364" w14:textId="77777777" w:rsidR="00D53BAA" w:rsidRPr="007079BC" w:rsidRDefault="00D53BAA" w:rsidP="00D837CF">
      <w:pPr>
        <w:rPr>
          <w:rFonts w:ascii="Arial Narrow" w:hAnsi="Arial Narrow" w:cs="Times New Roman"/>
        </w:rPr>
      </w:pPr>
    </w:p>
    <w:p w14:paraId="7CB0AC41" w14:textId="77777777" w:rsidR="00D53BAA" w:rsidRPr="007079BC" w:rsidRDefault="00D53BAA" w:rsidP="00D837CF">
      <w:pPr>
        <w:rPr>
          <w:rFonts w:ascii="Arial Narrow" w:hAnsi="Arial Narrow" w:cs="Times New Roman"/>
        </w:rPr>
      </w:pPr>
    </w:p>
    <w:p w14:paraId="7A472EA8" w14:textId="77777777" w:rsidR="00D53BAA" w:rsidRPr="007079BC" w:rsidRDefault="00D53BAA" w:rsidP="00D837CF">
      <w:pPr>
        <w:rPr>
          <w:rFonts w:ascii="Arial Narrow" w:hAnsi="Arial Narrow" w:cs="Times New Roman"/>
        </w:rPr>
      </w:pPr>
    </w:p>
    <w:p w14:paraId="0036CC1B" w14:textId="77777777" w:rsidR="00D53BAA" w:rsidRPr="007079BC" w:rsidRDefault="00D53BAA" w:rsidP="00D837CF">
      <w:pPr>
        <w:rPr>
          <w:rFonts w:ascii="Arial Narrow" w:hAnsi="Arial Narrow" w:cs="Times New Roman"/>
        </w:rPr>
      </w:pPr>
    </w:p>
    <w:p w14:paraId="419660C5" w14:textId="77777777" w:rsidR="00D53BAA" w:rsidRPr="007079BC" w:rsidRDefault="00D53BAA" w:rsidP="00D837CF">
      <w:pPr>
        <w:rPr>
          <w:rFonts w:ascii="Arial Narrow" w:hAnsi="Arial Narrow" w:cs="Times New Roman"/>
        </w:rPr>
      </w:pPr>
    </w:p>
    <w:p w14:paraId="65F13CF2" w14:textId="77777777" w:rsidR="00D53BAA" w:rsidRPr="007079BC" w:rsidRDefault="00D53BAA" w:rsidP="00D837CF">
      <w:pPr>
        <w:rPr>
          <w:rFonts w:ascii="Arial Narrow" w:hAnsi="Arial Narrow" w:cs="Times New Roman"/>
        </w:rPr>
      </w:pPr>
    </w:p>
    <w:p w14:paraId="3005EBA3" w14:textId="77777777" w:rsidR="00D53BAA" w:rsidRPr="007079BC" w:rsidRDefault="00D53BAA" w:rsidP="00D837CF">
      <w:pPr>
        <w:rPr>
          <w:rFonts w:ascii="Arial Narrow" w:hAnsi="Arial Narrow" w:cs="Times New Roman"/>
        </w:rPr>
      </w:pPr>
    </w:p>
    <w:p w14:paraId="66E98889" w14:textId="77777777" w:rsidR="00D53BAA" w:rsidRPr="007079BC" w:rsidRDefault="00D53BAA" w:rsidP="00D837CF">
      <w:pPr>
        <w:rPr>
          <w:rFonts w:ascii="Arial Narrow" w:hAnsi="Arial Narrow" w:cs="Times New Roman"/>
        </w:rPr>
      </w:pPr>
    </w:p>
    <w:p w14:paraId="19F83124" w14:textId="77777777" w:rsidR="00D53BAA" w:rsidRPr="007079BC" w:rsidRDefault="00D53BAA" w:rsidP="00D837CF">
      <w:pPr>
        <w:rPr>
          <w:rFonts w:ascii="Arial Narrow" w:hAnsi="Arial Narrow" w:cs="Times New Roman"/>
        </w:rPr>
      </w:pPr>
    </w:p>
    <w:p w14:paraId="4E591561" w14:textId="77777777" w:rsidR="00D53BAA" w:rsidRPr="007079BC" w:rsidRDefault="00D53BAA" w:rsidP="00D837CF">
      <w:pPr>
        <w:rPr>
          <w:rFonts w:ascii="Arial Narrow" w:hAnsi="Arial Narrow" w:cs="Times New Roman"/>
        </w:rPr>
      </w:pPr>
    </w:p>
    <w:p w14:paraId="7974B5EF" w14:textId="77777777" w:rsidR="00D53BAA" w:rsidRPr="007079BC" w:rsidRDefault="00D53BAA" w:rsidP="00D837CF">
      <w:pPr>
        <w:rPr>
          <w:rFonts w:ascii="Arial Narrow" w:hAnsi="Arial Narrow" w:cs="Times New Roman"/>
        </w:rPr>
      </w:pPr>
    </w:p>
    <w:p w14:paraId="495B4796" w14:textId="77777777" w:rsidR="00D53BAA" w:rsidRPr="007079BC" w:rsidRDefault="00D53BAA" w:rsidP="00D837CF">
      <w:pPr>
        <w:rPr>
          <w:rFonts w:ascii="Arial Narrow" w:hAnsi="Arial Narrow" w:cs="Times New Roman"/>
        </w:rPr>
      </w:pPr>
    </w:p>
    <w:p w14:paraId="5B1B72F9" w14:textId="2EE11052" w:rsidR="00D53BAA" w:rsidRDefault="00D53BAA" w:rsidP="00D53BAA">
      <w:pPr>
        <w:rPr>
          <w:rFonts w:ascii="Arial Narrow" w:hAnsi="Arial Narrow" w:cs="Times New Roman"/>
        </w:rPr>
      </w:pPr>
    </w:p>
    <w:p w14:paraId="165399BF" w14:textId="77777777" w:rsidR="00D53BAA" w:rsidRPr="00D53BAA" w:rsidRDefault="00D53BAA" w:rsidP="00D53BAA">
      <w:pPr>
        <w:rPr>
          <w:rFonts w:ascii="Arial Narrow" w:hAnsi="Arial Narrow" w:cs="Times New Roman"/>
        </w:rPr>
      </w:pPr>
    </w:p>
    <w:p w14:paraId="0B3BE180" w14:textId="52897DB2" w:rsidR="00D53BAA" w:rsidRDefault="00D53BAA" w:rsidP="00D53BAA">
      <w:pPr>
        <w:rPr>
          <w:rFonts w:ascii="Arial Narrow" w:hAnsi="Arial Narrow" w:cs="Times New Roman"/>
        </w:rPr>
      </w:pPr>
    </w:p>
    <w:p w14:paraId="7FA7FD96" w14:textId="5F88058D" w:rsidR="00FB2243" w:rsidRDefault="00FB2243" w:rsidP="00D53BAA">
      <w:pPr>
        <w:jc w:val="center"/>
        <w:rPr>
          <w:rFonts w:ascii="Arial Narrow" w:hAnsi="Arial Narrow" w:cs="Times New Roman"/>
        </w:rPr>
      </w:pPr>
    </w:p>
    <w:p w14:paraId="0049EAC9" w14:textId="23A53A33" w:rsidR="00D53BAA" w:rsidRDefault="00D53BAA" w:rsidP="00D53BAA">
      <w:pPr>
        <w:jc w:val="center"/>
        <w:rPr>
          <w:rFonts w:ascii="Arial Narrow" w:hAnsi="Arial Narrow" w:cs="Times New Roman"/>
        </w:rPr>
      </w:pPr>
    </w:p>
    <w:p w14:paraId="14B67309" w14:textId="74E41AFC" w:rsidR="00D53BAA" w:rsidRDefault="00D53BAA" w:rsidP="00D53BAA">
      <w:pPr>
        <w:jc w:val="center"/>
        <w:rPr>
          <w:rFonts w:ascii="Arial Narrow" w:hAnsi="Arial Narrow" w:cs="Times New Roman"/>
        </w:rPr>
      </w:pPr>
    </w:p>
    <w:p w14:paraId="6DEC2842" w14:textId="6DE8A292" w:rsidR="00D53BAA" w:rsidRDefault="00D53BAA" w:rsidP="00D53BAA">
      <w:pPr>
        <w:jc w:val="center"/>
        <w:rPr>
          <w:rFonts w:ascii="Arial Narrow" w:hAnsi="Arial Narrow" w:cs="Times New Roman"/>
        </w:rPr>
      </w:pPr>
    </w:p>
    <w:p w14:paraId="10B1A3F1" w14:textId="2593F0DD" w:rsidR="00D53BAA" w:rsidRDefault="00D53BAA" w:rsidP="00D53BAA">
      <w:pPr>
        <w:jc w:val="center"/>
        <w:rPr>
          <w:rFonts w:ascii="Arial Narrow" w:hAnsi="Arial Narrow" w:cs="Times New Roman"/>
        </w:rPr>
      </w:pPr>
    </w:p>
    <w:p w14:paraId="72BBBA55" w14:textId="6B9A6476" w:rsidR="00D53BAA" w:rsidRPr="00CE3E37" w:rsidRDefault="00D837CF" w:rsidP="00D53BAA">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14:paraId="26E843B2" w14:textId="77777777" w:rsidR="00D53BAA" w:rsidRPr="00CE3E37" w:rsidRDefault="00D53BAA" w:rsidP="00D53BAA">
      <w:pPr>
        <w:spacing w:after="0" w:line="240" w:lineRule="auto"/>
        <w:jc w:val="center"/>
        <w:rPr>
          <w:rFonts w:ascii="Arial Narrow" w:hAnsi="Arial Narrow" w:cs="Times New Roman"/>
          <w:b/>
          <w:bCs/>
        </w:rPr>
      </w:pPr>
    </w:p>
    <w:p w14:paraId="3779BE09" w14:textId="761BD8BA" w:rsidR="00D53BAA" w:rsidRPr="00CE3E37" w:rsidRDefault="00D53BAA" w:rsidP="00D53BAA">
      <w:pPr>
        <w:spacing w:after="0" w:line="240" w:lineRule="auto"/>
        <w:jc w:val="center"/>
        <w:rPr>
          <w:rFonts w:ascii="Arial Narrow" w:hAnsi="Arial Narrow" w:cs="Times New Roman"/>
        </w:rPr>
      </w:pPr>
      <w:r>
        <w:rPr>
          <w:rFonts w:ascii="Arial Narrow" w:hAnsi="Arial Narrow" w:cs="Times New Roman"/>
          <w:b/>
          <w:bCs/>
        </w:rPr>
        <w:t>Cena za prepravu plynu</w:t>
      </w:r>
    </w:p>
    <w:p w14:paraId="1D9E6892" w14:textId="77777777" w:rsidR="007079BC" w:rsidRDefault="007079BC" w:rsidP="007079BC">
      <w:pPr>
        <w:jc w:val="both"/>
        <w:rPr>
          <w:rFonts w:ascii="Arial Narrow" w:hAnsi="Arial Narrow" w:cs="Times New Roman"/>
        </w:rPr>
      </w:pPr>
    </w:p>
    <w:p w14:paraId="347E4886" w14:textId="66DDC676"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Prepravou plynu sa považuje doprava plynu prepravnou sieťou na účel jeho dopravy odberateľom plynu v zmysle § 2 písm. c) bod 3 Zákona č. 251/2012 Z. z. o energetike a o zmene a doplnení niektorých zákonov v znení neskorších predpisov, cenová regulácia prístupu do prepravnej siete a prepravy plynu je upravená najmä  podľa § 3 písm. e), § 7 až § 9 vyhlášky Úradu pre reguláciu sieťových odvetví č. 451/2022 Z. z., ktorou sa ustanovuje cenová regulácia vybraných regulovaných činností v plynárenstve a niektoré podmienky vykonávania vybraných regulovaných činností v plynárenstve a súvisiacich právnych predpisov.</w:t>
      </w:r>
    </w:p>
    <w:p w14:paraId="65139905" w14:textId="77777777" w:rsidR="007079BC" w:rsidRDefault="007079BC" w:rsidP="007079BC">
      <w:pPr>
        <w:pStyle w:val="Odsekzoznamu"/>
        <w:ind w:left="567"/>
        <w:jc w:val="both"/>
        <w:rPr>
          <w:rFonts w:ascii="Arial Narrow" w:eastAsia="Calibri" w:hAnsi="Arial Narrow" w:cs="Times New Roman"/>
          <w:color w:val="000000" w:themeColor="text1"/>
        </w:rPr>
      </w:pPr>
    </w:p>
    <w:p w14:paraId="00AE7A9D"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Cena za prepravu plynu pre účely tejto zmluvy je odvodená od ceny za prepravu plynu stanovenej pre zraniteľného odberateľa, ktorým je odberateľ plynu mimo domácnosti</w:t>
      </w:r>
      <w:r w:rsidRPr="001A2CE8">
        <w:rPr>
          <w:vertAlign w:val="superscript"/>
        </w:rPr>
        <w:footnoteReference w:id="1"/>
      </w:r>
      <w:r w:rsidRPr="007079BC">
        <w:rPr>
          <w:rFonts w:ascii="Arial Narrow" w:eastAsia="Calibri" w:hAnsi="Arial Narrow" w:cs="Times New Roman"/>
          <w:color w:val="000000" w:themeColor="text1"/>
        </w:rPr>
        <w:t>, a to podľa cenníka Poskytovateľa platného v čase dodávky plynu (ďalej len „</w:t>
      </w:r>
      <w:r w:rsidRPr="007079BC">
        <w:rPr>
          <w:rFonts w:ascii="Arial Narrow" w:eastAsia="Calibri" w:hAnsi="Arial Narrow" w:cs="Times New Roman"/>
          <w:b/>
          <w:bCs/>
          <w:color w:val="000000" w:themeColor="text1"/>
        </w:rPr>
        <w:t>Regulovaná cena za prepravu plynu“</w:t>
      </w:r>
      <w:r w:rsidRPr="007079BC">
        <w:rPr>
          <w:rFonts w:ascii="Arial Narrow" w:eastAsia="Calibri" w:hAnsi="Arial Narrow" w:cs="Times New Roman"/>
          <w:color w:val="000000" w:themeColor="text1"/>
        </w:rPr>
        <w:t>).</w:t>
      </w:r>
    </w:p>
    <w:p w14:paraId="629814B8" w14:textId="77777777" w:rsidR="007079BC" w:rsidRPr="007079BC" w:rsidRDefault="007079BC" w:rsidP="007079BC">
      <w:pPr>
        <w:pStyle w:val="Odsekzoznamu"/>
        <w:rPr>
          <w:rFonts w:ascii="Arial Narrow" w:eastAsia="Calibri" w:hAnsi="Arial Narrow" w:cs="Times New Roman"/>
          <w:color w:val="000000" w:themeColor="text1"/>
        </w:rPr>
      </w:pPr>
    </w:p>
    <w:p w14:paraId="33847182"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7079BC">
        <w:rPr>
          <w:rFonts w:ascii="Arial Narrow" w:eastAsia="Calibri" w:hAnsi="Arial Narrow" w:cs="Times New Roman"/>
          <w:b/>
          <w:bCs/>
          <w:color w:val="000000" w:themeColor="text1"/>
        </w:rPr>
        <w:t>Tarifná skupina</w:t>
      </w:r>
      <w:r w:rsidRPr="007079BC">
        <w:rPr>
          <w:rFonts w:ascii="Arial Narrow" w:eastAsia="Calibri" w:hAnsi="Arial Narrow" w:cs="Times New Roman"/>
          <w:color w:val="000000" w:themeColor="text1"/>
        </w:rPr>
        <w:t xml:space="preserve">“). </w:t>
      </w:r>
    </w:p>
    <w:p w14:paraId="505B4C48" w14:textId="77777777" w:rsidR="007079BC" w:rsidRPr="007079BC" w:rsidRDefault="007079BC" w:rsidP="007079BC">
      <w:pPr>
        <w:pStyle w:val="Odsekzoznamu"/>
        <w:rPr>
          <w:rFonts w:ascii="Arial Narrow" w:eastAsia="Calibri" w:hAnsi="Arial Narrow" w:cs="Times New Roman"/>
          <w:color w:val="000000" w:themeColor="text1"/>
        </w:rPr>
      </w:pPr>
    </w:p>
    <w:p w14:paraId="1D1D8173"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 Odberné miesta s Tarifnou skupinou, pre ktoré nie je stanovená Regulovaná cena za prepravu plynu (napr. pre Odberné miesta s Tarifnou skupinou rovnou alebo vyššou ako 6, t.j. s ročným odberom vyšším ako 100 000 kWh) platí Regulovaná cena za prepravu plynu stanovená pre Odberné miesta s Tarifnou skupinou číslo 6.</w:t>
      </w:r>
    </w:p>
    <w:p w14:paraId="4ED0C9FA" w14:textId="77777777" w:rsidR="007079BC" w:rsidRPr="007079BC" w:rsidRDefault="007079BC" w:rsidP="007079BC">
      <w:pPr>
        <w:pStyle w:val="Odsekzoznamu"/>
        <w:rPr>
          <w:rFonts w:ascii="Arial Narrow" w:eastAsia="Calibri" w:hAnsi="Arial Narrow" w:cs="Times New Roman"/>
          <w:color w:val="000000" w:themeColor="text1"/>
        </w:rPr>
      </w:pPr>
    </w:p>
    <w:p w14:paraId="372195C8"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Poskytovateľ nevie stanoviť cenu podľa bodu 1.4., Cena za prepravu plynu sa pre jednotlivé Tarifné skupiny vypočíta aritmetickým priemerom Regulovaných cien za prepravu plynu podľa cenníkov aspoň troch dodávateľov plynu, ktorí ju majú v čase dodávky plynu schválenú (ďalej len „</w:t>
      </w:r>
      <w:r w:rsidRPr="007079BC">
        <w:rPr>
          <w:rFonts w:ascii="Arial Narrow" w:eastAsia="Calibri" w:hAnsi="Arial Narrow" w:cs="Times New Roman"/>
          <w:b/>
          <w:bCs/>
          <w:color w:val="000000" w:themeColor="text1"/>
        </w:rPr>
        <w:t>Referenčná cena za prepravu plynu</w:t>
      </w:r>
      <w:r w:rsidRPr="007079BC">
        <w:rPr>
          <w:rFonts w:ascii="Arial Narrow" w:eastAsia="Calibri" w:hAnsi="Arial Narrow" w:cs="Times New Roman"/>
          <w:color w:val="000000" w:themeColor="text1"/>
        </w:rPr>
        <w:t>“).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ÚRSOm s uvedením stránky, na ktorej sú cenníky zverejnené.</w:t>
      </w:r>
    </w:p>
    <w:p w14:paraId="5874AB1E" w14:textId="77777777" w:rsidR="007079BC" w:rsidRPr="007079BC" w:rsidRDefault="007079BC" w:rsidP="007079BC">
      <w:pPr>
        <w:pStyle w:val="Odsekzoznamu"/>
        <w:rPr>
          <w:rFonts w:ascii="Arial Narrow" w:eastAsia="Calibri" w:hAnsi="Arial Narrow" w:cs="Times New Roman"/>
          <w:color w:val="000000" w:themeColor="text1"/>
        </w:rPr>
      </w:pPr>
    </w:p>
    <w:p w14:paraId="2DE97AE9" w14:textId="6EF48F12" w:rsidR="00D837CF" w:rsidRP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v čase dodávky plynu neexistujú Referenčné ceny za prepravu plynu podľa predošlého bodu, použije sa pre stanovenie Ceny za prepravu plynu X násobok sumy 2,86 EUR/MWh bez DPH, pričom "</w:t>
      </w:r>
      <w:r w:rsidRPr="007079BC">
        <w:rPr>
          <w:rFonts w:ascii="Arial Narrow" w:eastAsia="Calibri" w:hAnsi="Arial Narrow" w:cs="Times New Roman"/>
          <w:b/>
          <w:bCs/>
          <w:color w:val="000000" w:themeColor="text1"/>
        </w:rPr>
        <w:t>X“</w:t>
      </w:r>
      <w:r w:rsidRPr="007079BC">
        <w:rPr>
          <w:rFonts w:ascii="Arial Narrow" w:eastAsia="Calibri" w:hAnsi="Arial Narrow" w:cs="Times New Roman"/>
          <w:color w:val="000000" w:themeColor="text1"/>
        </w:rPr>
        <w:t> predstavuje nárast cenovej hladiny meraný pomocou indexu, ktorý je zverejňovaný na webstránke Štatistického úradu pod označením HARMONISED INDICES OF CONSUMER PRICES (HICP) v časti Harmonizované indexy spotrebiteľských cien (priemer roka 2015=100) – mesačne), a ktorého hodnota sa vypočíta podľa nasledovného vzorca:</w:t>
      </w:r>
    </w:p>
    <w:p w14:paraId="711D0B18" w14:textId="77777777" w:rsidR="00D837CF" w:rsidRPr="001A2CE8" w:rsidRDefault="00D837CF" w:rsidP="007079BC">
      <w:pPr>
        <w:ind w:firstLine="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X = 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/HICP</w:t>
      </w:r>
      <w:r w:rsidRPr="001A2CE8">
        <w:rPr>
          <w:rFonts w:ascii="Arial Narrow" w:eastAsia="Calibri" w:hAnsi="Arial Narrow" w:cs="Times New Roman"/>
          <w:b/>
          <w:bCs/>
          <w:color w:val="000000" w:themeColor="text1"/>
          <w:vertAlign w:val="subscript"/>
        </w:rPr>
        <w:t>B</w:t>
      </w:r>
      <w:r w:rsidRPr="001A2CE8">
        <w:rPr>
          <w:rFonts w:ascii="Arial Narrow" w:eastAsia="Calibri" w:hAnsi="Arial Narrow" w:cs="Times New Roman"/>
          <w:color w:val="000000" w:themeColor="text1"/>
        </w:rPr>
        <w:t>/100; pričom</w:t>
      </w:r>
    </w:p>
    <w:p w14:paraId="170FB212" w14:textId="77777777" w:rsidR="007079BC" w:rsidRDefault="00D837CF" w:rsidP="007079BC">
      <w:pPr>
        <w:numPr>
          <w:ilvl w:val="0"/>
          <w:numId w:val="31"/>
        </w:numPr>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 predstavuje najaktuálnejšiu zverejnenú hodnotu indexu (</w:t>
      </w:r>
      <w:r w:rsidRPr="001A2CE8">
        <w:rPr>
          <w:rFonts w:ascii="Arial Narrow" w:eastAsia="Calibri" w:hAnsi="Arial Narrow" w:cs="Times New Roman"/>
          <w:b/>
          <w:bCs/>
          <w:color w:val="000000" w:themeColor="text1"/>
        </w:rPr>
        <w:t xml:space="preserve">Aktuálna hodnota HICP </w:t>
      </w:r>
      <w:r w:rsidRPr="001A2CE8">
        <w:rPr>
          <w:rFonts w:ascii="Arial Narrow" w:eastAsia="Calibri" w:hAnsi="Arial Narrow" w:cs="Times New Roman"/>
          <w:color w:val="000000" w:themeColor="text1"/>
        </w:rPr>
        <w:t>–</w:t>
      </w:r>
      <w:r w:rsidRPr="001A2CE8">
        <w:rPr>
          <w:rFonts w:ascii="Arial Narrow" w:eastAsia="Calibri" w:hAnsi="Arial Narrow" w:cs="Times New Roman"/>
          <w:b/>
          <w:bCs/>
          <w:color w:val="000000" w:themeColor="text1"/>
        </w:rPr>
        <w:t xml:space="preserve"> </w:t>
      </w: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w:t>
      </w:r>
    </w:p>
    <w:p w14:paraId="5B6C5939" w14:textId="4F414C0F" w:rsidR="00D837CF" w:rsidRPr="007079BC" w:rsidRDefault="00D837CF" w:rsidP="007079BC">
      <w:pPr>
        <w:numPr>
          <w:ilvl w:val="0"/>
          <w:numId w:val="31"/>
        </w:numPr>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HICP</w:t>
      </w:r>
      <w:r w:rsidRPr="007079BC">
        <w:rPr>
          <w:rFonts w:ascii="Arial Narrow" w:eastAsia="Calibri" w:hAnsi="Arial Narrow" w:cs="Times New Roman"/>
          <w:b/>
          <w:bCs/>
          <w:color w:val="000000" w:themeColor="text1"/>
          <w:vertAlign w:val="subscript"/>
        </w:rPr>
        <w:t>B</w:t>
      </w:r>
      <w:r w:rsidRPr="007079BC">
        <w:rPr>
          <w:rFonts w:ascii="Arial Narrow" w:eastAsia="Calibri" w:hAnsi="Arial Narrow" w:cs="Times New Roman"/>
          <w:color w:val="000000" w:themeColor="text1"/>
        </w:rPr>
        <w:t xml:space="preserve"> – je hodnota indikujúca bázickú cenovú hladinu, zodpovedajúcu cenovej hladine posledného mesiaca východiskového obdobia (</w:t>
      </w:r>
      <w:r w:rsidRPr="007079BC">
        <w:rPr>
          <w:rFonts w:ascii="Arial Narrow" w:eastAsia="Calibri" w:hAnsi="Arial Narrow" w:cs="Times New Roman"/>
          <w:b/>
          <w:bCs/>
          <w:color w:val="000000" w:themeColor="text1"/>
        </w:rPr>
        <w:t xml:space="preserve">Bázická hodnota HICP </w:t>
      </w:r>
      <w:r w:rsidRPr="007079BC">
        <w:rPr>
          <w:rFonts w:ascii="Arial Narrow" w:eastAsia="Calibri" w:hAnsi="Arial Narrow" w:cs="Times New Roman"/>
          <w:color w:val="000000" w:themeColor="text1"/>
        </w:rPr>
        <w:t>–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Východiskovým obdobím je </w:t>
      </w:r>
      <w:r w:rsidRPr="007079BC">
        <w:rPr>
          <w:rFonts w:ascii="Arial Narrow" w:eastAsia="Calibri" w:hAnsi="Arial Narrow" w:cs="Times New Roman"/>
          <w:color w:val="000000" w:themeColor="text1"/>
        </w:rPr>
        <w:lastRenderedPageBreak/>
        <w:t>kalendárny mesiac, ku ktorému bolo naposledy stanovené X. Pre prvé stanovenie X je východiskovým obdobím január 2022 a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(za december 2021) vo výške 114,15. HICP</w:t>
      </w:r>
      <w:r w:rsidRPr="007079BC">
        <w:rPr>
          <w:rFonts w:ascii="Arial Narrow" w:eastAsia="Calibri" w:hAnsi="Arial Narrow" w:cs="Times New Roman"/>
          <w:color w:val="000000" w:themeColor="text1"/>
          <w:vertAlign w:val="subscript"/>
        </w:rPr>
        <w:t xml:space="preserve">B </w:t>
      </w:r>
      <w:r w:rsidRPr="007079BC">
        <w:rPr>
          <w:rFonts w:ascii="Arial Narrow" w:eastAsia="Calibri" w:hAnsi="Arial Narrow" w:cs="Times New Roman"/>
          <w:color w:val="000000" w:themeColor="text1"/>
        </w:rPr>
        <w:t>pri nasledovnom stanovení X bude vo výške rovnajúcej sa hodnote HICP</w:t>
      </w:r>
      <w:r w:rsidRPr="007079BC">
        <w:rPr>
          <w:rFonts w:ascii="Arial Narrow" w:eastAsia="Calibri" w:hAnsi="Arial Narrow" w:cs="Times New Roman"/>
          <w:color w:val="000000" w:themeColor="text1"/>
          <w:vertAlign w:val="subscript"/>
        </w:rPr>
        <w:t>A</w:t>
      </w:r>
      <w:r w:rsidRPr="007079BC">
        <w:rPr>
          <w:rFonts w:ascii="Arial Narrow" w:eastAsia="Calibri" w:hAnsi="Arial Narrow" w:cs="Times New Roman"/>
          <w:color w:val="000000" w:themeColor="text1"/>
        </w:rPr>
        <w:t>, ktorá bola použitá pri bezprostredne predošlom stanovení nárastu cenovej hladiny X.</w:t>
      </w:r>
    </w:p>
    <w:p w14:paraId="1A8B8C76" w14:textId="1FC30C9C" w:rsidR="00D837CF" w:rsidRPr="001A2CE8" w:rsidRDefault="00D837CF" w:rsidP="007079BC">
      <w:pPr>
        <w:numPr>
          <w:ilvl w:val="1"/>
          <w:numId w:val="29"/>
        </w:numPr>
        <w:ind w:left="709" w:hanging="709"/>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Cenu za dodávku plynu stanovenú podľa predošlého bodu možno počas Zmluvného obdobia zvýšiť najviac trikrát. </w:t>
      </w:r>
    </w:p>
    <w:p w14:paraId="76984B3A" w14:textId="77777777" w:rsidR="00D837CF" w:rsidRPr="001A2CE8" w:rsidRDefault="00D837CF" w:rsidP="007079BC">
      <w:pPr>
        <w:numPr>
          <w:ilvl w:val="1"/>
          <w:numId w:val="29"/>
        </w:numPr>
        <w:ind w:left="567" w:hanging="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Ku dňu zverejnenia tohto dokumentu sú hodnoty Indexu spotrebiteľských cien zverejňované na stránke: </w:t>
      </w:r>
      <w:hyperlink r:id="rId11" w:anchor="!/view/sk/VBD_INTERN/sp0017ms/v_sp0017ms_00_00_00_sk" w:history="1">
        <w:r w:rsidRPr="001A2CE8">
          <w:rPr>
            <w:rFonts w:ascii="Arial Narrow" w:eastAsia="Calibri" w:hAnsi="Arial Narrow" w:cs="Times New Roman"/>
            <w:color w:val="000000" w:themeColor="text1"/>
            <w:u w:val="single"/>
          </w:rPr>
          <w:t>http://datacube.statistics.sk/#!/view/sk/VBD_INTERN/sp0017ms/v_sp0017ms_00_00_00_sk</w:t>
        </w:r>
      </w:hyperlink>
    </w:p>
    <w:p w14:paraId="4B7C0DD9" w14:textId="77777777" w:rsidR="00D837CF" w:rsidRPr="00D53BAA" w:rsidRDefault="00D837CF" w:rsidP="00D837CF">
      <w:pPr>
        <w:jc w:val="both"/>
        <w:rPr>
          <w:rFonts w:ascii="Arial Narrow" w:hAnsi="Arial Narrow" w:cs="Times New Roman"/>
        </w:rPr>
      </w:pPr>
    </w:p>
    <w:sectPr w:rsidR="00D837CF" w:rsidRPr="00D53BAA" w:rsidSect="00C2622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ED5B3" w14:textId="77777777" w:rsidR="00DB40C3" w:rsidRDefault="00DB40C3" w:rsidP="002B256F">
      <w:pPr>
        <w:spacing w:after="0" w:line="240" w:lineRule="auto"/>
      </w:pPr>
      <w:r>
        <w:separator/>
      </w:r>
    </w:p>
  </w:endnote>
  <w:endnote w:type="continuationSeparator" w:id="0">
    <w:p w14:paraId="4CCF16D2" w14:textId="77777777" w:rsidR="00DB40C3" w:rsidRDefault="00DB40C3"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3F0F1718" w:rsidR="001A2E11" w:rsidRPr="002B256F" w:rsidRDefault="001A2E11">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7B06F0">
          <w:rPr>
            <w:rFonts w:ascii="Arial Narrow" w:hAnsi="Arial Narrow"/>
            <w:noProof/>
            <w:sz w:val="20"/>
            <w:szCs w:val="20"/>
          </w:rPr>
          <w:t>15</w:t>
        </w:r>
        <w:r w:rsidRPr="002B256F">
          <w:rPr>
            <w:rFonts w:ascii="Arial Narrow" w:hAnsi="Arial Narrow"/>
            <w:sz w:val="20"/>
            <w:szCs w:val="20"/>
          </w:rPr>
          <w:fldChar w:fldCharType="end"/>
        </w:r>
      </w:p>
    </w:sdtContent>
  </w:sdt>
  <w:p w14:paraId="2A576054" w14:textId="77777777" w:rsidR="001A2E11" w:rsidRDefault="001A2E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B29A4" w14:textId="77777777" w:rsidR="00DB40C3" w:rsidRDefault="00DB40C3" w:rsidP="002B256F">
      <w:pPr>
        <w:spacing w:after="0" w:line="240" w:lineRule="auto"/>
      </w:pPr>
      <w:r>
        <w:separator/>
      </w:r>
    </w:p>
  </w:footnote>
  <w:footnote w:type="continuationSeparator" w:id="0">
    <w:p w14:paraId="35458988" w14:textId="77777777" w:rsidR="00DB40C3" w:rsidRDefault="00DB40C3" w:rsidP="002B256F">
      <w:pPr>
        <w:spacing w:after="0" w:line="240" w:lineRule="auto"/>
      </w:pPr>
      <w:r>
        <w:continuationSeparator/>
      </w:r>
    </w:p>
  </w:footnote>
  <w:footnote w:id="1">
    <w:p w14:paraId="4B8AF165" w14:textId="77777777" w:rsidR="00D837CF" w:rsidRPr="007E7EA8" w:rsidRDefault="00D837CF" w:rsidP="00D837CF">
      <w:pPr>
        <w:pStyle w:val="Pta"/>
        <w:jc w:val="both"/>
        <w:rPr>
          <w:color w:val="000000" w:themeColor="text1"/>
        </w:rPr>
      </w:pPr>
      <w:r>
        <w:rPr>
          <w:rStyle w:val="Odkaznapoznmkupodiarou"/>
        </w:rPr>
        <w:footnoteRef/>
      </w:r>
      <w:r>
        <w:t xml:space="preserve"> </w:t>
      </w:r>
      <w:r w:rsidRPr="007E7EA8">
        <w:rPr>
          <w:rFonts w:ascii="Arial Narrow" w:hAnsi="Arial Narrow"/>
          <w:color w:val="000000" w:themeColor="text1"/>
          <w:sz w:val="18"/>
          <w:szCs w:val="18"/>
        </w:rPr>
        <w:t>odberateľ podľa §2 písmeno k bod 4) zákona č. 250/2012 Z. z. o regulácii v sieťových odvetviach v platnom znení (ďalej len „</w:t>
      </w:r>
      <w:r w:rsidRPr="007E7EA8">
        <w:rPr>
          <w:rFonts w:ascii="Arial Narrow" w:hAnsi="Arial Narrow"/>
          <w:b/>
          <w:bCs/>
          <w:color w:val="000000" w:themeColor="text1"/>
          <w:sz w:val="18"/>
          <w:szCs w:val="18"/>
        </w:rPr>
        <w:t>Zákon o regulácii</w:t>
      </w:r>
      <w:r w:rsidRPr="007E7EA8">
        <w:rPr>
          <w:rFonts w:ascii="Arial Narrow" w:hAnsi="Arial Narrow"/>
          <w:color w:val="000000" w:themeColor="text1"/>
          <w:sz w:val="18"/>
          <w:szCs w:val="18"/>
        </w:rPr>
        <w:t>“), podľa Zákona o regulácii účinného od 08.12.2022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1A2E11" w:rsidRPr="00F93560" w:rsidRDefault="001A2E11" w:rsidP="00F93560">
    <w:pPr>
      <w:pStyle w:val="Hlavika"/>
      <w:jc w:val="right"/>
      <w:rPr>
        <w:rFonts w:ascii="Arial Narrow" w:hAnsi="Arial Narrow"/>
      </w:rPr>
    </w:pPr>
    <w:r w:rsidRPr="00F93560">
      <w:rPr>
        <w:rFonts w:ascii="Arial Narrow" w:hAnsi="Arial Narrow"/>
      </w:rPr>
      <w:t xml:space="preserve">Príloha č. </w:t>
    </w:r>
    <w:r>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72908"/>
    <w:multiLevelType w:val="multilevel"/>
    <w:tmpl w:val="33B629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7" w15:restartNumberingAfterBreak="0">
    <w:nsid w:val="6C7F1042"/>
    <w:multiLevelType w:val="multilevel"/>
    <w:tmpl w:val="A51E200E"/>
    <w:lvl w:ilvl="0">
      <w:start w:val="1"/>
      <w:numFmt w:val="decimal"/>
      <w:lvlText w:val="%1."/>
      <w:lvlJc w:val="left"/>
      <w:pPr>
        <w:ind w:left="0" w:firstLine="0"/>
      </w:pPr>
      <w:rPr>
        <w:rFonts w:ascii="Arial Narrow" w:eastAsia="Arial Narrow" w:hAnsi="Arial Narrow" w:cs="Arial Narrow" w:hint="default"/>
        <w:b/>
        <w:bCs/>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pPr>
        <w:ind w:left="0" w:firstLine="0"/>
      </w:pPr>
      <w:rPr>
        <w:rFonts w:ascii="Arial Narrow" w:eastAsia="Arial Narrow" w:hAnsi="Arial Narrow" w:cs="Times New Roman" w:hint="default"/>
        <w:b w:val="0"/>
        <w:bCs w:val="0"/>
        <w:i w:val="0"/>
        <w:iCs w:val="0"/>
        <w:smallCaps w:val="0"/>
        <w:strike w:val="0"/>
        <w:color w:val="000000" w:themeColor="text1"/>
        <w:spacing w:val="0"/>
        <w:w w:val="100"/>
        <w:position w:val="0"/>
        <w:sz w:val="22"/>
        <w:szCs w:val="22"/>
        <w:u w:val="none"/>
        <w:shd w:val="clear" w:color="auto" w:fill="auto"/>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
  </w:num>
  <w:num w:numId="3">
    <w:abstractNumId w:val="13"/>
  </w:num>
  <w:num w:numId="4">
    <w:abstractNumId w:val="12"/>
  </w:num>
  <w:num w:numId="5">
    <w:abstractNumId w:val="31"/>
  </w:num>
  <w:num w:numId="6">
    <w:abstractNumId w:val="11"/>
  </w:num>
  <w:num w:numId="7">
    <w:abstractNumId w:val="24"/>
  </w:num>
  <w:num w:numId="8">
    <w:abstractNumId w:val="21"/>
  </w:num>
  <w:num w:numId="9">
    <w:abstractNumId w:val="0"/>
  </w:num>
  <w:num w:numId="10">
    <w:abstractNumId w:val="22"/>
  </w:num>
  <w:num w:numId="11">
    <w:abstractNumId w:val="20"/>
  </w:num>
  <w:num w:numId="12">
    <w:abstractNumId w:val="30"/>
  </w:num>
  <w:num w:numId="13">
    <w:abstractNumId w:val="17"/>
  </w:num>
  <w:num w:numId="14">
    <w:abstractNumId w:val="28"/>
  </w:num>
  <w:num w:numId="15">
    <w:abstractNumId w:val="6"/>
  </w:num>
  <w:num w:numId="16">
    <w:abstractNumId w:val="18"/>
  </w:num>
  <w:num w:numId="17">
    <w:abstractNumId w:val="23"/>
  </w:num>
  <w:num w:numId="18">
    <w:abstractNumId w:val="26"/>
  </w:num>
  <w:num w:numId="19">
    <w:abstractNumId w:val="15"/>
  </w:num>
  <w:num w:numId="20">
    <w:abstractNumId w:val="25"/>
  </w:num>
  <w:num w:numId="21">
    <w:abstractNumId w:val="8"/>
  </w:num>
  <w:num w:numId="22">
    <w:abstractNumId w:val="3"/>
  </w:num>
  <w:num w:numId="23">
    <w:abstractNumId w:val="4"/>
  </w:num>
  <w:num w:numId="24">
    <w:abstractNumId w:val="9"/>
  </w:num>
  <w:num w:numId="25">
    <w:abstractNumId w:val="19"/>
  </w:num>
  <w:num w:numId="26">
    <w:abstractNumId w:val="14"/>
  </w:num>
  <w:num w:numId="27">
    <w:abstractNumId w:val="5"/>
  </w:num>
  <w:num w:numId="28">
    <w:abstractNumId w:val="7"/>
  </w:num>
  <w:num w:numId="29">
    <w:abstractNumId w:val="27"/>
  </w:num>
  <w:num w:numId="30">
    <w:abstractNumId w:val="10"/>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07268"/>
    <w:rsid w:val="0001612F"/>
    <w:rsid w:val="00035475"/>
    <w:rsid w:val="0004092B"/>
    <w:rsid w:val="0005763C"/>
    <w:rsid w:val="000618E1"/>
    <w:rsid w:val="00061A70"/>
    <w:rsid w:val="000678ED"/>
    <w:rsid w:val="00083D01"/>
    <w:rsid w:val="000A5A72"/>
    <w:rsid w:val="000B086A"/>
    <w:rsid w:val="000D5AF6"/>
    <w:rsid w:val="000E00BC"/>
    <w:rsid w:val="001012E9"/>
    <w:rsid w:val="001224DA"/>
    <w:rsid w:val="00130CBE"/>
    <w:rsid w:val="001348BC"/>
    <w:rsid w:val="00163331"/>
    <w:rsid w:val="001A2E11"/>
    <w:rsid w:val="001C47FC"/>
    <w:rsid w:val="001C486D"/>
    <w:rsid w:val="001E152E"/>
    <w:rsid w:val="001E5550"/>
    <w:rsid w:val="001F3866"/>
    <w:rsid w:val="001F59EB"/>
    <w:rsid w:val="002150EF"/>
    <w:rsid w:val="0021611D"/>
    <w:rsid w:val="00242025"/>
    <w:rsid w:val="0024289F"/>
    <w:rsid w:val="00281C0D"/>
    <w:rsid w:val="002848BB"/>
    <w:rsid w:val="00294A2B"/>
    <w:rsid w:val="002A33F6"/>
    <w:rsid w:val="002A467F"/>
    <w:rsid w:val="002B256F"/>
    <w:rsid w:val="002B54EA"/>
    <w:rsid w:val="002D53E8"/>
    <w:rsid w:val="002E39AE"/>
    <w:rsid w:val="002E4FDF"/>
    <w:rsid w:val="002E6179"/>
    <w:rsid w:val="002F1D41"/>
    <w:rsid w:val="00302ECB"/>
    <w:rsid w:val="00320B8A"/>
    <w:rsid w:val="00321028"/>
    <w:rsid w:val="00330BE3"/>
    <w:rsid w:val="0033497F"/>
    <w:rsid w:val="0033620D"/>
    <w:rsid w:val="00340951"/>
    <w:rsid w:val="00342E53"/>
    <w:rsid w:val="00342F8A"/>
    <w:rsid w:val="00362409"/>
    <w:rsid w:val="003706F9"/>
    <w:rsid w:val="00371F74"/>
    <w:rsid w:val="0037361A"/>
    <w:rsid w:val="003A1D1B"/>
    <w:rsid w:val="003A6D63"/>
    <w:rsid w:val="003B1AD5"/>
    <w:rsid w:val="00402D00"/>
    <w:rsid w:val="00406D20"/>
    <w:rsid w:val="0041283F"/>
    <w:rsid w:val="00415872"/>
    <w:rsid w:val="00416894"/>
    <w:rsid w:val="00432D8D"/>
    <w:rsid w:val="00446FF9"/>
    <w:rsid w:val="00447807"/>
    <w:rsid w:val="00471F82"/>
    <w:rsid w:val="004B4123"/>
    <w:rsid w:val="00502893"/>
    <w:rsid w:val="00520D5D"/>
    <w:rsid w:val="0052790B"/>
    <w:rsid w:val="005313BE"/>
    <w:rsid w:val="0053242E"/>
    <w:rsid w:val="00534349"/>
    <w:rsid w:val="00551F61"/>
    <w:rsid w:val="005569E6"/>
    <w:rsid w:val="00570382"/>
    <w:rsid w:val="005B2210"/>
    <w:rsid w:val="005E34CD"/>
    <w:rsid w:val="00604CB8"/>
    <w:rsid w:val="00617975"/>
    <w:rsid w:val="006420D6"/>
    <w:rsid w:val="00651E11"/>
    <w:rsid w:val="00652159"/>
    <w:rsid w:val="006522BD"/>
    <w:rsid w:val="00652C3F"/>
    <w:rsid w:val="00673737"/>
    <w:rsid w:val="00683B20"/>
    <w:rsid w:val="006A0474"/>
    <w:rsid w:val="006B6629"/>
    <w:rsid w:val="006C7F4D"/>
    <w:rsid w:val="006D30A6"/>
    <w:rsid w:val="006D4458"/>
    <w:rsid w:val="006D76E7"/>
    <w:rsid w:val="006E025D"/>
    <w:rsid w:val="006E19EC"/>
    <w:rsid w:val="006E5065"/>
    <w:rsid w:val="006E7C14"/>
    <w:rsid w:val="006F6C2C"/>
    <w:rsid w:val="00706721"/>
    <w:rsid w:val="007079BC"/>
    <w:rsid w:val="00721126"/>
    <w:rsid w:val="00732680"/>
    <w:rsid w:val="007451B2"/>
    <w:rsid w:val="0074564E"/>
    <w:rsid w:val="0074585B"/>
    <w:rsid w:val="00757A8D"/>
    <w:rsid w:val="007672D8"/>
    <w:rsid w:val="0078163C"/>
    <w:rsid w:val="00784AFD"/>
    <w:rsid w:val="00784B3E"/>
    <w:rsid w:val="007946E7"/>
    <w:rsid w:val="007A41A1"/>
    <w:rsid w:val="007B06F0"/>
    <w:rsid w:val="007C72C2"/>
    <w:rsid w:val="00811679"/>
    <w:rsid w:val="00820F22"/>
    <w:rsid w:val="00827D67"/>
    <w:rsid w:val="00837E01"/>
    <w:rsid w:val="00837E9E"/>
    <w:rsid w:val="00840B82"/>
    <w:rsid w:val="00841E88"/>
    <w:rsid w:val="00845499"/>
    <w:rsid w:val="008622E2"/>
    <w:rsid w:val="00874CA6"/>
    <w:rsid w:val="00876C61"/>
    <w:rsid w:val="00891F25"/>
    <w:rsid w:val="00894A34"/>
    <w:rsid w:val="00897D43"/>
    <w:rsid w:val="008B0852"/>
    <w:rsid w:val="008B78ED"/>
    <w:rsid w:val="008C3ADC"/>
    <w:rsid w:val="008E1B70"/>
    <w:rsid w:val="008F1F7E"/>
    <w:rsid w:val="008F7C9D"/>
    <w:rsid w:val="009001CD"/>
    <w:rsid w:val="0093529E"/>
    <w:rsid w:val="00964575"/>
    <w:rsid w:val="00984E6D"/>
    <w:rsid w:val="009A0716"/>
    <w:rsid w:val="009A559D"/>
    <w:rsid w:val="009A5F76"/>
    <w:rsid w:val="009A6355"/>
    <w:rsid w:val="009C247C"/>
    <w:rsid w:val="009D15F6"/>
    <w:rsid w:val="009D4E4F"/>
    <w:rsid w:val="009D76EB"/>
    <w:rsid w:val="009F0B80"/>
    <w:rsid w:val="00A1385A"/>
    <w:rsid w:val="00A21F40"/>
    <w:rsid w:val="00A255A7"/>
    <w:rsid w:val="00A42BE3"/>
    <w:rsid w:val="00A44A5B"/>
    <w:rsid w:val="00A53007"/>
    <w:rsid w:val="00A70413"/>
    <w:rsid w:val="00A762B0"/>
    <w:rsid w:val="00AB5552"/>
    <w:rsid w:val="00AB7B30"/>
    <w:rsid w:val="00AC2A74"/>
    <w:rsid w:val="00AC5141"/>
    <w:rsid w:val="00AE19A1"/>
    <w:rsid w:val="00AF3241"/>
    <w:rsid w:val="00B35E30"/>
    <w:rsid w:val="00B42043"/>
    <w:rsid w:val="00B61182"/>
    <w:rsid w:val="00B76898"/>
    <w:rsid w:val="00B85BFE"/>
    <w:rsid w:val="00BB1756"/>
    <w:rsid w:val="00BD4C67"/>
    <w:rsid w:val="00BE4CAC"/>
    <w:rsid w:val="00C0637A"/>
    <w:rsid w:val="00C26222"/>
    <w:rsid w:val="00C3607D"/>
    <w:rsid w:val="00C37D0C"/>
    <w:rsid w:val="00C46C5E"/>
    <w:rsid w:val="00C63956"/>
    <w:rsid w:val="00C72E79"/>
    <w:rsid w:val="00C73C38"/>
    <w:rsid w:val="00CC21D2"/>
    <w:rsid w:val="00CD464D"/>
    <w:rsid w:val="00CE3E37"/>
    <w:rsid w:val="00CF5EF9"/>
    <w:rsid w:val="00D0367B"/>
    <w:rsid w:val="00D156C4"/>
    <w:rsid w:val="00D25FFD"/>
    <w:rsid w:val="00D3132F"/>
    <w:rsid w:val="00D3539F"/>
    <w:rsid w:val="00D53BAA"/>
    <w:rsid w:val="00D5451B"/>
    <w:rsid w:val="00D65020"/>
    <w:rsid w:val="00D8313C"/>
    <w:rsid w:val="00D837CF"/>
    <w:rsid w:val="00D9432E"/>
    <w:rsid w:val="00DB40C3"/>
    <w:rsid w:val="00DC0C55"/>
    <w:rsid w:val="00DD3317"/>
    <w:rsid w:val="00DE2048"/>
    <w:rsid w:val="00E21F64"/>
    <w:rsid w:val="00E25CB7"/>
    <w:rsid w:val="00E30580"/>
    <w:rsid w:val="00E45405"/>
    <w:rsid w:val="00E47A39"/>
    <w:rsid w:val="00E51588"/>
    <w:rsid w:val="00E52742"/>
    <w:rsid w:val="00E62661"/>
    <w:rsid w:val="00E846D5"/>
    <w:rsid w:val="00EB4387"/>
    <w:rsid w:val="00EC2A20"/>
    <w:rsid w:val="00F00239"/>
    <w:rsid w:val="00F04556"/>
    <w:rsid w:val="00F25778"/>
    <w:rsid w:val="00F41034"/>
    <w:rsid w:val="00F7245E"/>
    <w:rsid w:val="00F841AD"/>
    <w:rsid w:val="00F85402"/>
    <w:rsid w:val="00F86424"/>
    <w:rsid w:val="00F93560"/>
    <w:rsid w:val="00F96EF2"/>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D8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cube.statistics.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plynu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plynu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CBFE743-9A02-4D94-BF2B-89CD5E35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6549</Words>
  <Characters>37335</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Jamborová Kristína</cp:lastModifiedBy>
  <cp:revision>8</cp:revision>
  <cp:lastPrinted>2023-09-22T08:01:00Z</cp:lastPrinted>
  <dcterms:created xsi:type="dcterms:W3CDTF">2023-10-05T12:32:00Z</dcterms:created>
  <dcterms:modified xsi:type="dcterms:W3CDTF">2023-12-01T10:20:00Z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*COO.2289.100.3.1705481*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COO.2289.100.3.1705481</vt:lpwstr>
  </property>
  <property fmtid="{D5CDD505-2E9C-101B-9397-08002B2CF9AE}" pid="397" name="FSC#FSCFOLIO@1.1001:docpropproject">
    <vt:lpwstr/>
  </property>
</Properties>
</file>