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B8E" w14:textId="05D45AC2" w:rsidR="00597860" w:rsidRPr="0070717B" w:rsidRDefault="00514C4B" w:rsidP="00514C4B">
      <w:pPr>
        <w:rPr>
          <w:rFonts w:cs="Calibri"/>
          <w:b/>
          <w:bCs/>
          <w:sz w:val="20"/>
          <w:szCs w:val="20"/>
        </w:rPr>
      </w:pPr>
      <w:bookmarkStart w:id="0" w:name="_Hlk151563267"/>
      <w:r w:rsidRPr="0070717B">
        <w:rPr>
          <w:rFonts w:cs="Calibri"/>
          <w:b/>
          <w:bCs/>
          <w:sz w:val="20"/>
          <w:szCs w:val="20"/>
        </w:rPr>
        <w:t xml:space="preserve">Príloha č. </w:t>
      </w:r>
      <w:r w:rsidR="00F32D49">
        <w:rPr>
          <w:rFonts w:cs="Calibri"/>
          <w:b/>
          <w:bCs/>
          <w:sz w:val="20"/>
          <w:szCs w:val="20"/>
        </w:rPr>
        <w:t>3</w:t>
      </w:r>
      <w:r w:rsidRPr="0070717B">
        <w:rPr>
          <w:rFonts w:cs="Calibri"/>
          <w:b/>
          <w:bCs/>
          <w:sz w:val="20"/>
          <w:szCs w:val="20"/>
        </w:rPr>
        <w:t xml:space="preserve"> </w:t>
      </w:r>
      <w:r w:rsidR="00597860" w:rsidRPr="0070717B">
        <w:rPr>
          <w:rFonts w:cs="Calibri"/>
          <w:sz w:val="20"/>
          <w:szCs w:val="20"/>
        </w:rPr>
        <w:t>– Návrh zmluvy o dodávke zemného plynu</w:t>
      </w:r>
    </w:p>
    <w:bookmarkEnd w:id="0"/>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1"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1"/>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35004E0F"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xml:space="preserve">. Za vyššiu moc sa nepovažujú výpadky vo výrobe a nezískanie úradných povolení. </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w:t>
      </w:r>
      <w:r w:rsidRPr="0070717B">
        <w:rPr>
          <w:rFonts w:cs="Calibri"/>
          <w:szCs w:val="20"/>
        </w:rPr>
        <w:lastRenderedPageBreak/>
        <w:t>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2B4F1818"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w:t>
      </w:r>
      <w:r w:rsidRPr="0070717B">
        <w:rPr>
          <w:rFonts w:cs="Calibri"/>
          <w:szCs w:val="20"/>
        </w:rPr>
        <w:lastRenderedPageBreak/>
        <w:t>tvorí Prílohu č. 2 tejto Zmluvy a upraví sa predpokladaný rozsah Zmluvných plnení, formou dodatku k</w:t>
      </w:r>
      <w:r w:rsidR="00D35D90">
        <w:rPr>
          <w:rFonts w:cs="Calibri"/>
          <w:szCs w:val="20"/>
        </w:rPr>
        <w:t> </w:t>
      </w:r>
      <w:r w:rsidRPr="0070717B">
        <w:rPr>
          <w:rFonts w:cs="Calibri"/>
          <w:szCs w:val="20"/>
        </w:rPr>
        <w:t>Zmluve</w:t>
      </w:r>
      <w:r w:rsidR="00D35D90">
        <w:rPr>
          <w:rFonts w:cs="Calibri"/>
          <w:szCs w:val="20"/>
        </w:rPr>
        <w:t xml:space="preserve"> </w:t>
      </w:r>
      <w:r w:rsidR="00D35D90" w:rsidRPr="00D35D90">
        <w:rPr>
          <w:rFonts w:cs="Calibri"/>
          <w:szCs w:val="20"/>
        </w:rPr>
        <w:t>s tým, že cena sa nemení, ak bude odber v rámci tolerančného pásma podľa Prílohy č. 3 k zmluve. V prípade, že plánovaný odber prevýši tolerančné pásmo cena sa dohodne v rámci písomného dodatku</w:t>
      </w:r>
      <w:r w:rsidRPr="0070717B">
        <w:rPr>
          <w:rFonts w:cs="Calibri"/>
          <w:szCs w:val="20"/>
        </w:rPr>
        <w:t>.</w:t>
      </w:r>
      <w:r w:rsidR="00BC5CFE">
        <w:rPr>
          <w:rFonts w:cs="Calibri"/>
          <w:szCs w:val="20"/>
        </w:rPr>
        <w:t xml:space="preser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2" w:name="_Ref112852149"/>
      <w:r w:rsidRPr="0070717B">
        <w:rPr>
          <w:rFonts w:cs="Calibri"/>
          <w:szCs w:val="20"/>
          <w:lang w:eastAsia="de-DE"/>
        </w:rPr>
        <w:t xml:space="preserve">cena za distribučné služby a ostatné poplatky fakturované </w:t>
      </w:r>
      <w:bookmarkStart w:id="3" w:name="OLE_LINK46"/>
      <w:r w:rsidRPr="0070717B">
        <w:rPr>
          <w:rFonts w:cs="Calibri"/>
          <w:szCs w:val="20"/>
          <w:lang w:eastAsia="de-DE"/>
        </w:rPr>
        <w:t xml:space="preserve">PDS v súlade s  cenovými rozhodnutiami Úradu pre reguláciu sieťových odvetví </w:t>
      </w:r>
      <w:bookmarkEnd w:id="3"/>
      <w:r w:rsidRPr="0070717B">
        <w:rPr>
          <w:rFonts w:cs="Calibri"/>
          <w:szCs w:val="20"/>
          <w:lang w:eastAsia="de-DE"/>
        </w:rPr>
        <w:t xml:space="preserve">(ďalej ako „ÚRSO“) </w:t>
      </w:r>
      <w:bookmarkStart w:id="4" w:name="OLE_LINK48"/>
      <w:bookmarkStart w:id="5" w:name="OLE_LINK49"/>
      <w:r w:rsidRPr="0070717B">
        <w:rPr>
          <w:rFonts w:cs="Calibri"/>
          <w:szCs w:val="20"/>
          <w:lang w:eastAsia="de-DE"/>
        </w:rPr>
        <w:t xml:space="preserve">platnými a účinnými </w:t>
      </w:r>
      <w:bookmarkEnd w:id="4"/>
      <w:bookmarkEnd w:id="5"/>
      <w:r w:rsidRPr="0070717B">
        <w:rPr>
          <w:rFonts w:cs="Calibri"/>
          <w:szCs w:val="20"/>
          <w:lang w:eastAsia="de-DE"/>
        </w:rPr>
        <w:t>v čase dodania plnení;</w:t>
      </w:r>
      <w:bookmarkEnd w:id="2"/>
    </w:p>
    <w:p w14:paraId="71551EF3" w14:textId="3C921551"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bookmarkStart w:id="6" w:name="_Hlk151569757"/>
      <w:r w:rsidRPr="0070717B">
        <w:rPr>
          <w:rFonts w:cs="Calibri"/>
          <w:szCs w:val="20"/>
          <w:lang w:eastAsia="de-DE"/>
        </w:rPr>
        <w:t xml:space="preserve">cena za </w:t>
      </w:r>
      <w:r w:rsidR="00BD4A66">
        <w:rPr>
          <w:rFonts w:cs="Calibri"/>
          <w:szCs w:val="20"/>
          <w:lang w:eastAsia="de-DE"/>
        </w:rPr>
        <w:t xml:space="preserve">služby súvisiace s </w:t>
      </w:r>
      <w:r w:rsidRPr="0070717B">
        <w:rPr>
          <w:rFonts w:cs="Calibri"/>
          <w:szCs w:val="20"/>
          <w:lang w:eastAsia="de-DE"/>
        </w:rPr>
        <w:t>preprav</w:t>
      </w:r>
      <w:r w:rsidR="00BD4A66">
        <w:rPr>
          <w:rFonts w:cs="Calibri"/>
          <w:szCs w:val="20"/>
          <w:lang w:eastAsia="de-DE"/>
        </w:rPr>
        <w:t>o</w:t>
      </w:r>
      <w:r w:rsidRPr="0070717B">
        <w:rPr>
          <w:rFonts w:cs="Calibri"/>
          <w:szCs w:val="20"/>
          <w:lang w:eastAsia="de-DE"/>
        </w:rPr>
        <w:t xml:space="preserve">u </w:t>
      </w:r>
      <w:r w:rsidR="00BD4A66">
        <w:rPr>
          <w:rFonts w:cs="Calibri"/>
          <w:szCs w:val="20"/>
          <w:lang w:eastAsia="de-DE"/>
        </w:rPr>
        <w:t xml:space="preserve">a skladovaním </w:t>
      </w:r>
      <w:r w:rsidRPr="0070717B">
        <w:rPr>
          <w:rFonts w:cs="Calibri"/>
          <w:szCs w:val="20"/>
          <w:lang w:eastAsia="de-DE"/>
        </w:rPr>
        <w:t>plynu v súlade s cenovými rozhodnutiami ÚRSO platnými v čase dodania</w:t>
      </w:r>
      <w:bookmarkEnd w:id="6"/>
      <w:r w:rsidRPr="0070717B">
        <w:rPr>
          <w:rFonts w:cs="Calibri"/>
          <w:szCs w:val="20"/>
          <w:lang w:eastAsia="de-DE"/>
        </w:rPr>
        <w:t>;</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7"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7"/>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8" w:name="_Ref118019155"/>
      <w:r w:rsidRPr="0070717B">
        <w:rPr>
          <w:rFonts w:cs="Calibri"/>
          <w:szCs w:val="20"/>
          <w:lang w:eastAsia="de-DE"/>
        </w:rPr>
        <w:t>Vo faktúre Poskytovateľ zohľadní zaplatené Preddavky.</w:t>
      </w:r>
      <w:bookmarkEnd w:id="8"/>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9" w:name="_Ref118019171"/>
      <w:r w:rsidRPr="0070717B">
        <w:rPr>
          <w:rFonts w:cs="Calibri"/>
          <w:szCs w:val="20"/>
          <w:lang w:eastAsia="de-DE"/>
        </w:rPr>
        <w:t>Po ukončení Zmluvného obdobia Poskytovateľ vykoná vyhodnotenie spotrebovaného množstva plynu a vystaví  faktúru.</w:t>
      </w:r>
      <w:bookmarkEnd w:id="9"/>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0"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1" w:name="OLE_LINK16"/>
      <w:bookmarkEnd w:id="10"/>
      <w:r w:rsidRPr="0070717B">
        <w:rPr>
          <w:rFonts w:cs="Calibri"/>
          <w:szCs w:val="20"/>
          <w:lang w:eastAsia="de-DE"/>
        </w:rPr>
        <w:t>Lehota pre doručenie faktúr je 15 dní od ukončenia príslušného Fakturačného obdobia</w:t>
      </w:r>
      <w:bookmarkEnd w:id="11"/>
      <w:r w:rsidRPr="0070717B">
        <w:rPr>
          <w:rFonts w:cs="Calibri"/>
          <w:szCs w:val="20"/>
          <w:lang w:eastAsia="de-DE"/>
        </w:rPr>
        <w:t>.</w:t>
      </w:r>
    </w:p>
    <w:p w14:paraId="1D35C31A" w14:textId="3382598F"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Ak predložená faktúra nebude vystavená v súlade s touto Zmluvou, Objednávateľ ju bezodkladne vráti Poskytovateľovi na prepracovanie. Opravená faktúra je splatná do </w:t>
      </w:r>
      <w:r w:rsidR="00BC5CFE">
        <w:rPr>
          <w:rFonts w:cs="Calibri"/>
          <w:szCs w:val="20"/>
          <w:lang w:eastAsia="de-DE"/>
        </w:rPr>
        <w:t>pätnástich</w:t>
      </w:r>
      <w:r w:rsidR="00BC5CFE" w:rsidRPr="0070717B">
        <w:rPr>
          <w:rFonts w:cs="Calibri"/>
          <w:szCs w:val="20"/>
          <w:lang w:eastAsia="de-DE"/>
        </w:rPr>
        <w:t xml:space="preserve"> </w:t>
      </w:r>
      <w:r w:rsidRPr="0070717B">
        <w:rPr>
          <w:rFonts w:cs="Calibri"/>
          <w:szCs w:val="20"/>
          <w:lang w:eastAsia="de-DE"/>
        </w:rPr>
        <w:t>(</w:t>
      </w:r>
      <w:r w:rsidR="00BC5CFE">
        <w:rPr>
          <w:rFonts w:cs="Calibri"/>
          <w:szCs w:val="20"/>
          <w:lang w:eastAsia="de-DE"/>
        </w:rPr>
        <w:t>15</w:t>
      </w:r>
      <w:r w:rsidRPr="0070717B">
        <w:rPr>
          <w:rFonts w:cs="Calibri"/>
          <w:szCs w:val="20"/>
          <w:lang w:eastAsia="de-DE"/>
        </w:rPr>
        <w:t>)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lastRenderedPageBreak/>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592869" w:rsidRDefault="00B416A8" w:rsidP="00592869">
      <w:pPr>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Default="00B416A8" w:rsidP="00B416A8">
      <w:pPr>
        <w:pStyle w:val="Odsekzoznamu"/>
        <w:ind w:left="709"/>
        <w:rPr>
          <w:rFonts w:cs="Calibri"/>
          <w:szCs w:val="20"/>
        </w:rPr>
      </w:pPr>
    </w:p>
    <w:p w14:paraId="1B77B8DD" w14:textId="77777777" w:rsidR="00EE2399" w:rsidRPr="0070717B" w:rsidRDefault="00EE2399"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lastRenderedPageBreak/>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41F615A0"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D51134">
        <w:rPr>
          <w:rFonts w:cs="Calibri"/>
          <w:szCs w:val="20"/>
        </w:rPr>
        <w:t>4</w:t>
      </w:r>
      <w:r w:rsidRPr="0070717B">
        <w:rPr>
          <w:rFonts w:cs="Calibri"/>
          <w:szCs w:val="20"/>
        </w:rPr>
        <w:t xml:space="preserve"> </w:t>
      </w:r>
      <w:r w:rsidR="00E46B98" w:rsidRPr="0070717B">
        <w:rPr>
          <w:rFonts w:cs="Calibri"/>
          <w:szCs w:val="20"/>
        </w:rPr>
        <w:t>od 00:00 hod. do 31.12.202</w:t>
      </w:r>
      <w:r w:rsidR="00D51134">
        <w:rPr>
          <w:rFonts w:cs="Calibri"/>
          <w:szCs w:val="20"/>
        </w:rPr>
        <w:t>4</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88E3DF6" w14:textId="77777777" w:rsidR="00B416A8" w:rsidRPr="00C45C9E" w:rsidRDefault="00B416A8" w:rsidP="00C45C9E">
      <w:pPr>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lastRenderedPageBreak/>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13C5BE08" w:rsidR="00514C4B" w:rsidRPr="0070717B" w:rsidRDefault="008E0F49" w:rsidP="00514C4B">
      <w:pPr>
        <w:pStyle w:val="Odsekzoznamu"/>
        <w:widowControl/>
        <w:numPr>
          <w:ilvl w:val="1"/>
          <w:numId w:val="11"/>
        </w:numPr>
        <w:autoSpaceDE/>
        <w:autoSpaceDN/>
        <w:ind w:left="720" w:hanging="709"/>
        <w:contextualSpacing/>
        <w:jc w:val="both"/>
        <w:rPr>
          <w:rFonts w:cs="Calibri"/>
          <w:szCs w:val="20"/>
        </w:rPr>
      </w:pPr>
      <w:r>
        <w:rPr>
          <w:rFonts w:cs="Calibri"/>
          <w:szCs w:val="20"/>
        </w:rPr>
        <w:t>Rozpis preddavkových platieb bude zaslaný po zaradení odberných miest do bilančnej skupiny dodávateľa.</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lastRenderedPageBreak/>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52798F8F"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E125C4" w:rsidRPr="0070717B">
        <w:rPr>
          <w:rFonts w:cs="Calibri"/>
          <w:szCs w:val="20"/>
        </w:rPr>
        <w:t>3</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476BA93B" w:rsidR="009C1168" w:rsidRDefault="009C1168" w:rsidP="00B416A8">
      <w:pPr>
        <w:rPr>
          <w:rFonts w:cs="Calibri"/>
          <w:sz w:val="20"/>
          <w:szCs w:val="20"/>
        </w:rPr>
      </w:pPr>
      <w:r>
        <w:rPr>
          <w:rFonts w:cs="Calibri"/>
          <w:sz w:val="20"/>
          <w:szCs w:val="20"/>
        </w:rPr>
        <w:br w:type="page"/>
      </w:r>
    </w:p>
    <w:p w14:paraId="08481933"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65362DF" w14:textId="77777777" w:rsidR="00200DF4" w:rsidRDefault="00200DF4" w:rsidP="00200DF4">
      <w:pPr>
        <w:jc w:val="both"/>
        <w:rPr>
          <w:rFonts w:ascii="Arial Narrow" w:hAnsi="Arial Narrow"/>
        </w:rPr>
      </w:pPr>
      <w:r>
        <w:rPr>
          <w:rFonts w:ascii="Arial Narrow" w:hAnsi="Arial Narrow"/>
        </w:rPr>
        <w:t xml:space="preserve">Obdobie dodávky: </w:t>
      </w:r>
      <w:r>
        <w:rPr>
          <w:rFonts w:ascii="Arial Narrow" w:hAnsi="Arial Narrow"/>
        </w:rPr>
        <w:tab/>
        <w:t>01.01.2024 – 31.12.2024</w:t>
      </w:r>
    </w:p>
    <w:p w14:paraId="2804F88E" w14:textId="77777777" w:rsidR="00200DF4" w:rsidRDefault="00200DF4" w:rsidP="00200DF4">
      <w:pPr>
        <w:jc w:val="both"/>
        <w:rPr>
          <w:rFonts w:ascii="Arial Narrow" w:hAnsi="Arial Narrow"/>
        </w:rPr>
      </w:pPr>
    </w:p>
    <w:p w14:paraId="61C01682" w14:textId="40040A62" w:rsidR="00200DF4" w:rsidRDefault="00200DF4" w:rsidP="00200DF4">
      <w:pPr>
        <w:jc w:val="both"/>
        <w:rPr>
          <w:rFonts w:ascii="Arial Narrow" w:hAnsi="Arial Narrow"/>
        </w:rPr>
      </w:pPr>
      <w:r>
        <w:rPr>
          <w:rFonts w:ascii="Arial Narrow" w:hAnsi="Arial Narrow"/>
        </w:rPr>
        <w:t>Predpokladaný odber:</w:t>
      </w:r>
      <w:r>
        <w:rPr>
          <w:rFonts w:ascii="Arial Narrow" w:hAnsi="Arial Narrow"/>
        </w:rPr>
        <w:tab/>
      </w:r>
      <w:r w:rsidR="00F55622" w:rsidRPr="00F55622">
        <w:rPr>
          <w:rFonts w:ascii="Arial Narrow" w:hAnsi="Arial Narrow"/>
        </w:rPr>
        <w:t>686 376,00</w:t>
      </w:r>
      <w:r w:rsidR="00F55622">
        <w:rPr>
          <w:rFonts w:ascii="Arial Narrow" w:hAnsi="Arial Narrow"/>
        </w:rPr>
        <w:t xml:space="preserve"> </w:t>
      </w:r>
      <w:r w:rsidRPr="00F55622">
        <w:rPr>
          <w:rFonts w:ascii="Arial Narrow" w:hAnsi="Arial Narrow"/>
        </w:rPr>
        <w:t>kWh</w:t>
      </w:r>
    </w:p>
    <w:p w14:paraId="212C588A" w14:textId="77777777" w:rsidR="00200DF4" w:rsidRDefault="00200DF4" w:rsidP="00200DF4">
      <w:pPr>
        <w:jc w:val="both"/>
        <w:rPr>
          <w:rFonts w:ascii="Arial Narrow" w:hAnsi="Arial Narrow"/>
        </w:rPr>
      </w:pPr>
    </w:p>
    <w:p w14:paraId="3D4D5B68" w14:textId="77777777" w:rsidR="00200DF4" w:rsidRDefault="00200DF4" w:rsidP="00200DF4">
      <w:pPr>
        <w:jc w:val="both"/>
        <w:rPr>
          <w:rFonts w:ascii="Arial Narrow" w:hAnsi="Arial Narrow"/>
        </w:rPr>
      </w:pPr>
    </w:p>
    <w:p w14:paraId="5BB8843D" w14:textId="77777777" w:rsidR="00200DF4" w:rsidRDefault="00200DF4" w:rsidP="00200DF4">
      <w:pPr>
        <w:jc w:val="both"/>
        <w:rPr>
          <w:rFonts w:ascii="Arial Narrow" w:hAnsi="Arial Narrow"/>
        </w:rPr>
      </w:pPr>
      <w:r>
        <w:rPr>
          <w:rFonts w:ascii="Arial Narrow" w:hAnsi="Arial Narrow"/>
        </w:rPr>
        <w:t>Tabuľka 2 – Zoznam odberných miest, Taríf a Predpokladaný odber</w:t>
      </w:r>
    </w:p>
    <w:p w14:paraId="2F8783D9" w14:textId="77777777" w:rsidR="00F55622" w:rsidRDefault="00F55622" w:rsidP="00200DF4">
      <w:pPr>
        <w:jc w:val="both"/>
        <w:rPr>
          <w:rFonts w:ascii="Arial Narrow" w:hAnsi="Arial Narrow"/>
        </w:rPr>
      </w:pPr>
    </w:p>
    <w:tbl>
      <w:tblPr>
        <w:tblStyle w:val="Mriekatabuky"/>
        <w:tblW w:w="0" w:type="auto"/>
        <w:tblLook w:val="04A0" w:firstRow="1" w:lastRow="0" w:firstColumn="1" w:lastColumn="0" w:noHBand="0" w:noVBand="1"/>
      </w:tblPr>
      <w:tblGrid>
        <w:gridCol w:w="3890"/>
        <w:gridCol w:w="783"/>
        <w:gridCol w:w="3119"/>
      </w:tblGrid>
      <w:tr w:rsidR="00F55622" w14:paraId="685E2541" w14:textId="77777777" w:rsidTr="00A773BF">
        <w:tc>
          <w:tcPr>
            <w:tcW w:w="3890" w:type="dxa"/>
          </w:tcPr>
          <w:p w14:paraId="138BCF10" w14:textId="77777777" w:rsidR="00F55622" w:rsidRPr="00593DB6" w:rsidRDefault="00F55622" w:rsidP="00A773BF">
            <w:pPr>
              <w:jc w:val="center"/>
              <w:rPr>
                <w:rFonts w:ascii="Arial Narrow" w:hAnsi="Arial Narrow"/>
                <w:b/>
                <w:bCs/>
              </w:rPr>
            </w:pPr>
            <w:r w:rsidRPr="00593DB6">
              <w:rPr>
                <w:rFonts w:ascii="Arial Narrow" w:hAnsi="Arial Narrow"/>
                <w:b/>
                <w:bCs/>
              </w:rPr>
              <w:t>POD</w:t>
            </w:r>
          </w:p>
        </w:tc>
        <w:tc>
          <w:tcPr>
            <w:tcW w:w="783" w:type="dxa"/>
          </w:tcPr>
          <w:p w14:paraId="75934ED5" w14:textId="77777777" w:rsidR="00F55622" w:rsidRPr="00593DB6" w:rsidRDefault="00F55622" w:rsidP="00A773BF">
            <w:pPr>
              <w:jc w:val="center"/>
              <w:rPr>
                <w:rFonts w:ascii="Arial Narrow" w:hAnsi="Arial Narrow"/>
                <w:b/>
                <w:bCs/>
              </w:rPr>
            </w:pPr>
            <w:r w:rsidRPr="00593DB6">
              <w:rPr>
                <w:rFonts w:ascii="Arial Narrow" w:hAnsi="Arial Narrow"/>
                <w:b/>
                <w:bCs/>
              </w:rPr>
              <w:t>Tarifa</w:t>
            </w:r>
          </w:p>
        </w:tc>
        <w:tc>
          <w:tcPr>
            <w:tcW w:w="3119" w:type="dxa"/>
          </w:tcPr>
          <w:p w14:paraId="2F444029" w14:textId="77777777" w:rsidR="00F55622" w:rsidRPr="00593DB6" w:rsidRDefault="00F55622" w:rsidP="00A773BF">
            <w:pPr>
              <w:jc w:val="center"/>
              <w:rPr>
                <w:rFonts w:ascii="Arial Narrow" w:hAnsi="Arial Narrow"/>
                <w:b/>
                <w:bCs/>
              </w:rPr>
            </w:pPr>
            <w:r w:rsidRPr="00593DB6">
              <w:rPr>
                <w:rFonts w:ascii="Arial Narrow" w:hAnsi="Arial Narrow"/>
                <w:b/>
                <w:bCs/>
              </w:rPr>
              <w:t>Predpokladaný odber (</w:t>
            </w:r>
            <w:r>
              <w:rPr>
                <w:rFonts w:ascii="Arial Narrow" w:hAnsi="Arial Narrow"/>
                <w:b/>
                <w:bCs/>
              </w:rPr>
              <w:t>k</w:t>
            </w:r>
            <w:r w:rsidRPr="00593DB6">
              <w:rPr>
                <w:rFonts w:ascii="Arial Narrow" w:hAnsi="Arial Narrow"/>
                <w:b/>
                <w:bCs/>
              </w:rPr>
              <w:t>Wh)</w:t>
            </w:r>
          </w:p>
        </w:tc>
      </w:tr>
      <w:tr w:rsidR="00F55622" w14:paraId="48680098" w14:textId="77777777" w:rsidTr="00A773BF">
        <w:tc>
          <w:tcPr>
            <w:tcW w:w="3890" w:type="dxa"/>
          </w:tcPr>
          <w:p w14:paraId="7EC82FF0" w14:textId="77777777" w:rsidR="00F55622" w:rsidRPr="00A0139F" w:rsidRDefault="00F55622" w:rsidP="00A773BF">
            <w:pPr>
              <w:jc w:val="both"/>
              <w:rPr>
                <w:rFonts w:ascii="Arial Narrow" w:hAnsi="Arial Narrow"/>
                <w:highlight w:val="yellow"/>
              </w:rPr>
            </w:pPr>
            <w:r w:rsidRPr="006D5FC6">
              <w:rPr>
                <w:rFonts w:ascii="Arial Narrow" w:hAnsi="Arial Narrow"/>
              </w:rPr>
              <w:t>SKSPPDIS001010901574</w:t>
            </w:r>
          </w:p>
        </w:tc>
        <w:tc>
          <w:tcPr>
            <w:tcW w:w="783" w:type="dxa"/>
          </w:tcPr>
          <w:p w14:paraId="60E3F7A8" w14:textId="77777777" w:rsidR="00F55622" w:rsidRPr="005220CE" w:rsidRDefault="00F55622" w:rsidP="00A773BF">
            <w:pPr>
              <w:jc w:val="center"/>
              <w:rPr>
                <w:rFonts w:ascii="Arial Narrow" w:hAnsi="Arial Narrow"/>
              </w:rPr>
            </w:pPr>
            <w:r w:rsidRPr="006D5FC6">
              <w:rPr>
                <w:rFonts w:ascii="Arial Narrow" w:hAnsi="Arial Narrow"/>
              </w:rPr>
              <w:t>M4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24A0D069" w14:textId="77777777" w:rsidR="00F55622" w:rsidRPr="005220CE" w:rsidRDefault="00F55622" w:rsidP="00A773BF">
            <w:pPr>
              <w:jc w:val="center"/>
              <w:rPr>
                <w:rFonts w:ascii="Arial Narrow" w:hAnsi="Arial Narrow"/>
              </w:rPr>
            </w:pPr>
            <w:r w:rsidRPr="005220CE">
              <w:rPr>
                <w:rFonts w:ascii="Arial Narrow" w:hAnsi="Arial Narrow"/>
              </w:rPr>
              <w:t>44 168</w:t>
            </w:r>
          </w:p>
        </w:tc>
      </w:tr>
      <w:tr w:rsidR="00F55622" w14:paraId="169FE84E" w14:textId="77777777" w:rsidTr="00A773BF">
        <w:tc>
          <w:tcPr>
            <w:tcW w:w="3890" w:type="dxa"/>
          </w:tcPr>
          <w:p w14:paraId="58EBA6C0" w14:textId="77777777" w:rsidR="00F55622" w:rsidRPr="006D5FC6" w:rsidRDefault="00F55622" w:rsidP="00A773BF">
            <w:pPr>
              <w:jc w:val="both"/>
              <w:rPr>
                <w:rFonts w:ascii="Arial Narrow" w:hAnsi="Arial Narrow"/>
              </w:rPr>
            </w:pPr>
            <w:r w:rsidRPr="006D5FC6">
              <w:rPr>
                <w:rFonts w:ascii="Arial Narrow" w:hAnsi="Arial Narrow"/>
              </w:rPr>
              <w:t>SKSPPDIS00101901573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6369044A" w14:textId="77777777" w:rsidR="00F55622" w:rsidRPr="005220CE" w:rsidRDefault="00F55622" w:rsidP="00A773BF">
            <w:pPr>
              <w:jc w:val="center"/>
              <w:rPr>
                <w:rFonts w:ascii="Arial Narrow" w:hAnsi="Arial Narrow"/>
              </w:rPr>
            </w:pPr>
            <w:r w:rsidRPr="005220CE">
              <w:rPr>
                <w:rFonts w:ascii="Arial Narrow" w:hAnsi="Arial Narrow"/>
              </w:rPr>
              <w:t>M4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ED68457" w14:textId="77777777" w:rsidR="00F55622" w:rsidRPr="005220CE" w:rsidRDefault="00F55622" w:rsidP="00A773BF">
            <w:pPr>
              <w:jc w:val="center"/>
              <w:rPr>
                <w:rFonts w:ascii="Arial Narrow" w:hAnsi="Arial Narrow"/>
              </w:rPr>
            </w:pPr>
            <w:r w:rsidRPr="005220CE">
              <w:rPr>
                <w:rFonts w:ascii="Arial Narrow" w:hAnsi="Arial Narrow"/>
              </w:rPr>
              <w:t>55 191</w:t>
            </w:r>
          </w:p>
        </w:tc>
      </w:tr>
      <w:tr w:rsidR="00F55622" w14:paraId="131F5ADF" w14:textId="77777777" w:rsidTr="00A773BF">
        <w:tc>
          <w:tcPr>
            <w:tcW w:w="3890" w:type="dxa"/>
          </w:tcPr>
          <w:p w14:paraId="0F9FC4FE" w14:textId="77777777" w:rsidR="00F55622" w:rsidRPr="006D5FC6" w:rsidRDefault="00F55622" w:rsidP="00A773BF">
            <w:pPr>
              <w:widowControl/>
              <w:autoSpaceDE/>
              <w:autoSpaceDN/>
              <w:jc w:val="both"/>
              <w:rPr>
                <w:rFonts w:ascii="Arial Narrow" w:hAnsi="Arial Narrow"/>
              </w:rPr>
            </w:pPr>
            <w:r w:rsidRPr="006D5FC6">
              <w:rPr>
                <w:rFonts w:ascii="Arial Narrow" w:hAnsi="Arial Narrow"/>
              </w:rPr>
              <w:t>SKSPPDIS00101901576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F54F0C7" w14:textId="77777777" w:rsidR="00F55622" w:rsidRPr="005220CE" w:rsidRDefault="00F55622" w:rsidP="00A773BF">
            <w:pPr>
              <w:jc w:val="center"/>
              <w:rPr>
                <w:rFonts w:ascii="Arial Narrow" w:hAnsi="Arial Narrow"/>
              </w:rPr>
            </w:pPr>
            <w:r w:rsidRPr="005220CE">
              <w:rPr>
                <w:rFonts w:ascii="Arial Narrow" w:hAnsi="Arial Narrow"/>
              </w:rPr>
              <w:t>M4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8A5FE72" w14:textId="77777777" w:rsidR="00F55622" w:rsidRPr="005220CE" w:rsidRDefault="00F55622" w:rsidP="00A773BF">
            <w:pPr>
              <w:jc w:val="center"/>
              <w:rPr>
                <w:rFonts w:ascii="Arial Narrow" w:hAnsi="Arial Narrow"/>
              </w:rPr>
            </w:pPr>
            <w:r w:rsidRPr="005220CE">
              <w:rPr>
                <w:rFonts w:ascii="Arial Narrow" w:hAnsi="Arial Narrow"/>
              </w:rPr>
              <w:t>37 539</w:t>
            </w:r>
          </w:p>
        </w:tc>
      </w:tr>
      <w:tr w:rsidR="00F55622" w14:paraId="2E8E9334" w14:textId="77777777" w:rsidTr="00A773BF">
        <w:tc>
          <w:tcPr>
            <w:tcW w:w="3890" w:type="dxa"/>
          </w:tcPr>
          <w:p w14:paraId="34EDCF71" w14:textId="77777777" w:rsidR="00F55622" w:rsidRPr="006D5FC6" w:rsidRDefault="00F55622" w:rsidP="00A773BF">
            <w:pPr>
              <w:widowControl/>
              <w:autoSpaceDE/>
              <w:autoSpaceDN/>
              <w:jc w:val="both"/>
              <w:rPr>
                <w:rFonts w:ascii="Arial Narrow" w:hAnsi="Arial Narrow"/>
              </w:rPr>
            </w:pPr>
            <w:r w:rsidRPr="006D5FC6">
              <w:rPr>
                <w:rFonts w:ascii="Arial Narrow" w:hAnsi="Arial Narrow"/>
              </w:rPr>
              <w:t>SKSPPDIS00101901571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223BDEE5" w14:textId="77777777" w:rsidR="00F55622" w:rsidRPr="005220CE" w:rsidRDefault="00F55622" w:rsidP="00A773BF">
            <w:pPr>
              <w:jc w:val="center"/>
              <w:rPr>
                <w:rFonts w:ascii="Arial Narrow" w:hAnsi="Arial Narrow"/>
              </w:rPr>
            </w:pPr>
            <w:r w:rsidRPr="005220CE">
              <w:rPr>
                <w:rFonts w:ascii="Arial Narrow" w:hAnsi="Arial Narrow"/>
              </w:rPr>
              <w:t>M5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6DE2BD8C" w14:textId="77777777" w:rsidR="00F55622" w:rsidRPr="005220CE" w:rsidRDefault="00F55622" w:rsidP="00A773BF">
            <w:pPr>
              <w:jc w:val="center"/>
              <w:rPr>
                <w:rFonts w:ascii="Arial Narrow" w:hAnsi="Arial Narrow"/>
              </w:rPr>
            </w:pPr>
            <w:r w:rsidRPr="005220CE">
              <w:rPr>
                <w:rFonts w:ascii="Arial Narrow" w:hAnsi="Arial Narrow"/>
              </w:rPr>
              <w:t>73 525</w:t>
            </w:r>
          </w:p>
        </w:tc>
      </w:tr>
      <w:tr w:rsidR="00F55622" w14:paraId="44060638" w14:textId="77777777" w:rsidTr="00A773BF">
        <w:tc>
          <w:tcPr>
            <w:tcW w:w="3890" w:type="dxa"/>
          </w:tcPr>
          <w:p w14:paraId="2EB208BC" w14:textId="77777777" w:rsidR="00F55622" w:rsidRPr="006D5FC6" w:rsidRDefault="00F55622" w:rsidP="00A773BF">
            <w:pPr>
              <w:jc w:val="both"/>
              <w:rPr>
                <w:rFonts w:ascii="Arial Narrow" w:hAnsi="Arial Narrow"/>
              </w:rPr>
            </w:pPr>
            <w:r w:rsidRPr="006D5FC6">
              <w:rPr>
                <w:rFonts w:ascii="Arial Narrow" w:hAnsi="Arial Narrow"/>
              </w:rPr>
              <w:t>SKSPPDIS00101901572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F05DBC6" w14:textId="77777777" w:rsidR="00F55622" w:rsidRPr="005220CE" w:rsidRDefault="00F55622" w:rsidP="00A773BF">
            <w:pPr>
              <w:jc w:val="center"/>
              <w:rPr>
                <w:rFonts w:ascii="Arial Narrow" w:hAnsi="Arial Narrow"/>
              </w:rPr>
            </w:pPr>
            <w:r w:rsidRPr="005220CE">
              <w:rPr>
                <w:rFonts w:ascii="Arial Narrow" w:hAnsi="Arial Narrow"/>
              </w:rPr>
              <w:t>M1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1ECD4613" w14:textId="77777777" w:rsidR="00F55622" w:rsidRPr="005220CE" w:rsidRDefault="00F55622" w:rsidP="00A773BF">
            <w:pPr>
              <w:jc w:val="center"/>
              <w:rPr>
                <w:rFonts w:ascii="Arial Narrow" w:hAnsi="Arial Narrow"/>
              </w:rPr>
            </w:pPr>
            <w:r w:rsidRPr="005220CE">
              <w:rPr>
                <w:rFonts w:ascii="Arial Narrow" w:hAnsi="Arial Narrow"/>
              </w:rPr>
              <w:t>1 364</w:t>
            </w:r>
          </w:p>
        </w:tc>
      </w:tr>
      <w:tr w:rsidR="00F55622" w14:paraId="3CD7AB57" w14:textId="77777777" w:rsidTr="00A773BF">
        <w:tc>
          <w:tcPr>
            <w:tcW w:w="3890" w:type="dxa"/>
          </w:tcPr>
          <w:p w14:paraId="3629587A" w14:textId="77777777" w:rsidR="00F55622" w:rsidRPr="006D5FC6" w:rsidRDefault="00F55622" w:rsidP="00A773BF">
            <w:pPr>
              <w:jc w:val="both"/>
              <w:rPr>
                <w:rFonts w:ascii="Arial Narrow" w:hAnsi="Arial Narrow"/>
              </w:rPr>
            </w:pPr>
            <w:r w:rsidRPr="006D5FC6">
              <w:rPr>
                <w:rFonts w:ascii="Arial Narrow" w:hAnsi="Arial Narrow"/>
              </w:rPr>
              <w:t>SKSPPDIS021019000309</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6B341AC2" w14:textId="77777777" w:rsidR="00F55622" w:rsidRPr="005220CE" w:rsidRDefault="00F55622" w:rsidP="00A773BF">
            <w:pPr>
              <w:jc w:val="center"/>
              <w:rPr>
                <w:rFonts w:ascii="Arial Narrow" w:hAnsi="Arial Narrow"/>
              </w:rPr>
            </w:pPr>
            <w:r w:rsidRPr="005220CE">
              <w:rPr>
                <w:rFonts w:ascii="Arial Narrow" w:hAnsi="Arial Narrow"/>
              </w:rPr>
              <w:t>M1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8F36788" w14:textId="77777777" w:rsidR="00F55622" w:rsidRPr="005220CE" w:rsidRDefault="00F55622" w:rsidP="00A773BF">
            <w:pPr>
              <w:jc w:val="center"/>
              <w:rPr>
                <w:rFonts w:ascii="Arial Narrow" w:hAnsi="Arial Narrow"/>
              </w:rPr>
            </w:pPr>
            <w:r w:rsidRPr="005220CE">
              <w:rPr>
                <w:rFonts w:ascii="Arial Narrow" w:hAnsi="Arial Narrow"/>
              </w:rPr>
              <w:t>0</w:t>
            </w:r>
          </w:p>
        </w:tc>
      </w:tr>
      <w:tr w:rsidR="00F55622" w14:paraId="225F963A" w14:textId="77777777" w:rsidTr="00A773BF">
        <w:tc>
          <w:tcPr>
            <w:tcW w:w="3890" w:type="dxa"/>
          </w:tcPr>
          <w:p w14:paraId="38D507C4" w14:textId="77777777" w:rsidR="00F55622" w:rsidRPr="006D5FC6" w:rsidRDefault="00F55622" w:rsidP="00A773BF">
            <w:pPr>
              <w:widowControl/>
              <w:autoSpaceDE/>
              <w:autoSpaceDN/>
              <w:jc w:val="both"/>
              <w:rPr>
                <w:rFonts w:ascii="Arial Narrow" w:hAnsi="Arial Narrow"/>
              </w:rPr>
            </w:pPr>
            <w:r w:rsidRPr="006D5FC6">
              <w:rPr>
                <w:rFonts w:ascii="Arial Narrow" w:hAnsi="Arial Narrow"/>
              </w:rPr>
              <w:t>SKSPPDIS001020002294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5F97B7E7" w14:textId="77777777" w:rsidR="00F55622" w:rsidRPr="005220CE" w:rsidRDefault="00F55622" w:rsidP="00A773BF">
            <w:pPr>
              <w:jc w:val="center"/>
              <w:rPr>
                <w:rFonts w:ascii="Arial Narrow" w:hAnsi="Arial Narrow"/>
              </w:rPr>
            </w:pPr>
            <w:r w:rsidRPr="005220CE">
              <w:rPr>
                <w:rFonts w:ascii="Arial Narrow" w:hAnsi="Arial Narrow"/>
              </w:rPr>
              <w:t>M4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5A77009E" w14:textId="77777777" w:rsidR="00F55622" w:rsidRPr="005220CE" w:rsidRDefault="00F55622" w:rsidP="00A773BF">
            <w:pPr>
              <w:jc w:val="center"/>
              <w:rPr>
                <w:rFonts w:ascii="Arial Narrow" w:hAnsi="Arial Narrow"/>
              </w:rPr>
            </w:pPr>
            <w:r w:rsidRPr="005220CE">
              <w:rPr>
                <w:rFonts w:ascii="Arial Narrow" w:hAnsi="Arial Narrow"/>
              </w:rPr>
              <w:t>66 589</w:t>
            </w:r>
          </w:p>
        </w:tc>
      </w:tr>
      <w:tr w:rsidR="00F55622" w14:paraId="0B83844D" w14:textId="77777777" w:rsidTr="00A773BF">
        <w:tc>
          <w:tcPr>
            <w:tcW w:w="3890" w:type="dxa"/>
          </w:tcPr>
          <w:p w14:paraId="4812E6F7" w14:textId="77777777" w:rsidR="00F55622" w:rsidRPr="006D5FC6" w:rsidRDefault="00F55622" w:rsidP="00A773BF">
            <w:pPr>
              <w:jc w:val="both"/>
              <w:rPr>
                <w:rFonts w:ascii="Arial Narrow" w:hAnsi="Arial Narrow"/>
              </w:rPr>
            </w:pPr>
            <w:r w:rsidRPr="006D5FC6">
              <w:rPr>
                <w:rFonts w:ascii="Arial Narrow" w:hAnsi="Arial Narrow"/>
              </w:rPr>
              <w:t>SKSPPDIS021019000226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8337EE7" w14:textId="77777777" w:rsidR="00F55622" w:rsidRPr="005220CE" w:rsidRDefault="00F55622" w:rsidP="00A773BF">
            <w:pPr>
              <w:jc w:val="center"/>
              <w:rPr>
                <w:rFonts w:ascii="Arial Narrow" w:hAnsi="Arial Narrow"/>
              </w:rPr>
            </w:pPr>
            <w:r w:rsidRPr="005220CE">
              <w:rPr>
                <w:rFonts w:ascii="Arial Narrow" w:hAnsi="Arial Narrow"/>
              </w:rPr>
              <w:t>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A983059" w14:textId="77777777" w:rsidR="00F55622" w:rsidRPr="005220CE" w:rsidRDefault="00F55622" w:rsidP="00A773BF">
            <w:pPr>
              <w:jc w:val="center"/>
              <w:rPr>
                <w:rFonts w:ascii="Arial Narrow" w:hAnsi="Arial Narrow"/>
              </w:rPr>
            </w:pPr>
            <w:r w:rsidRPr="005220CE">
              <w:rPr>
                <w:rFonts w:ascii="Arial Narrow" w:hAnsi="Arial Narrow"/>
              </w:rPr>
              <w:t>220 000</w:t>
            </w:r>
          </w:p>
        </w:tc>
      </w:tr>
      <w:tr w:rsidR="00F55622" w14:paraId="1602D15B" w14:textId="77777777" w:rsidTr="00A773BF">
        <w:tc>
          <w:tcPr>
            <w:tcW w:w="3890" w:type="dxa"/>
          </w:tcPr>
          <w:p w14:paraId="4F7739C4" w14:textId="77777777" w:rsidR="00F55622" w:rsidRPr="006D5FC6" w:rsidRDefault="00F55622" w:rsidP="00A773BF">
            <w:pPr>
              <w:jc w:val="both"/>
              <w:rPr>
                <w:rFonts w:ascii="Arial Narrow" w:hAnsi="Arial Narrow"/>
              </w:rPr>
            </w:pPr>
            <w:r w:rsidRPr="006D5FC6">
              <w:rPr>
                <w:rFonts w:ascii="Arial Narrow" w:hAnsi="Arial Narrow"/>
              </w:rPr>
              <w:t>SKSPPDIS001010902624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BEFEC18" w14:textId="77777777" w:rsidR="00F55622" w:rsidRPr="005220CE" w:rsidRDefault="00F55622" w:rsidP="00A773BF">
            <w:pPr>
              <w:jc w:val="center"/>
              <w:rPr>
                <w:rFonts w:ascii="Arial Narrow" w:hAnsi="Arial Narrow"/>
              </w:rPr>
            </w:pPr>
            <w:r w:rsidRPr="005220CE">
              <w:rPr>
                <w:rFonts w:ascii="Arial Narrow" w:hAnsi="Arial Narrow"/>
              </w:rPr>
              <w:t>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E413108" w14:textId="77777777" w:rsidR="00F55622" w:rsidRPr="005220CE" w:rsidRDefault="00F55622" w:rsidP="00A773BF">
            <w:pPr>
              <w:jc w:val="center"/>
              <w:rPr>
                <w:rFonts w:ascii="Arial Narrow" w:hAnsi="Arial Narrow"/>
              </w:rPr>
            </w:pPr>
            <w:r w:rsidRPr="005220CE">
              <w:rPr>
                <w:rFonts w:ascii="Arial Narrow" w:hAnsi="Arial Narrow"/>
              </w:rPr>
              <w:t>140 000</w:t>
            </w:r>
          </w:p>
        </w:tc>
      </w:tr>
      <w:tr w:rsidR="00F55622" w14:paraId="5745B34E" w14:textId="77777777" w:rsidTr="00A773BF">
        <w:tc>
          <w:tcPr>
            <w:tcW w:w="3890" w:type="dxa"/>
          </w:tcPr>
          <w:p w14:paraId="0526548C" w14:textId="77777777" w:rsidR="00F55622" w:rsidRPr="006D5FC6" w:rsidRDefault="00F55622" w:rsidP="00A773BF">
            <w:pPr>
              <w:jc w:val="both"/>
              <w:rPr>
                <w:rFonts w:ascii="Arial Narrow" w:hAnsi="Arial Narrow"/>
              </w:rPr>
            </w:pPr>
            <w:r w:rsidRPr="006D5FC6">
              <w:rPr>
                <w:rFonts w:ascii="Arial Narrow" w:hAnsi="Arial Narrow"/>
              </w:rPr>
              <w:t>SKSPPDIS001010902625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63316" w14:textId="77777777" w:rsidR="00F55622" w:rsidRPr="005220CE" w:rsidRDefault="00F55622" w:rsidP="00A773BF">
            <w:pPr>
              <w:jc w:val="center"/>
              <w:rPr>
                <w:rFonts w:ascii="Arial Narrow" w:hAnsi="Arial Narrow"/>
              </w:rPr>
            </w:pPr>
            <w:r w:rsidRPr="005220CE">
              <w:rPr>
                <w:rFonts w:ascii="Arial Narrow" w:hAnsi="Arial Narrow"/>
              </w:rPr>
              <w:t>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629D9E" w14:textId="77777777" w:rsidR="00F55622" w:rsidRPr="005220CE" w:rsidRDefault="00F55622" w:rsidP="00A773BF">
            <w:pPr>
              <w:jc w:val="center"/>
              <w:rPr>
                <w:rFonts w:ascii="Arial Narrow" w:hAnsi="Arial Narrow"/>
              </w:rPr>
            </w:pPr>
            <w:r w:rsidRPr="005220CE">
              <w:rPr>
                <w:rFonts w:ascii="Arial Narrow" w:hAnsi="Arial Narrow"/>
              </w:rPr>
              <w:t>48 000</w:t>
            </w:r>
          </w:p>
        </w:tc>
      </w:tr>
      <w:tr w:rsidR="00F55622" w14:paraId="5C9DA464" w14:textId="77777777" w:rsidTr="00A773BF">
        <w:tc>
          <w:tcPr>
            <w:tcW w:w="3890" w:type="dxa"/>
          </w:tcPr>
          <w:p w14:paraId="27FC8962" w14:textId="77777777" w:rsidR="00F55622" w:rsidRDefault="00F55622" w:rsidP="00A773BF">
            <w:pPr>
              <w:jc w:val="center"/>
              <w:rPr>
                <w:rFonts w:ascii="Arial Narrow" w:hAnsi="Arial Narrow"/>
              </w:rPr>
            </w:pPr>
            <w:r w:rsidRPr="00593DB6">
              <w:rPr>
                <w:rFonts w:ascii="Arial Narrow" w:hAnsi="Arial Narrow"/>
                <w:b/>
                <w:bCs/>
              </w:rPr>
              <w:t>Spolu</w:t>
            </w:r>
          </w:p>
        </w:tc>
        <w:tc>
          <w:tcPr>
            <w:tcW w:w="783" w:type="dxa"/>
          </w:tcPr>
          <w:p w14:paraId="1E2F4A79" w14:textId="77777777" w:rsidR="00F55622" w:rsidRDefault="00F55622" w:rsidP="00A773BF">
            <w:pPr>
              <w:jc w:val="both"/>
              <w:rPr>
                <w:rFonts w:ascii="Arial Narrow" w:hAnsi="Arial Narrow"/>
              </w:rPr>
            </w:pPr>
          </w:p>
        </w:tc>
        <w:tc>
          <w:tcPr>
            <w:tcW w:w="3119" w:type="dxa"/>
          </w:tcPr>
          <w:p w14:paraId="1748BD94" w14:textId="77777777" w:rsidR="00F55622" w:rsidRPr="005220CE" w:rsidRDefault="00F55622" w:rsidP="00A773BF">
            <w:pPr>
              <w:jc w:val="center"/>
              <w:rPr>
                <w:rFonts w:ascii="Arial Narrow" w:hAnsi="Arial Narrow"/>
                <w:b/>
                <w:bCs/>
              </w:rPr>
            </w:pPr>
            <w:r w:rsidRPr="005220CE">
              <w:rPr>
                <w:rFonts w:ascii="Arial Narrow" w:hAnsi="Arial Narrow"/>
                <w:b/>
                <w:bCs/>
              </w:rPr>
              <w:t>686</w:t>
            </w:r>
            <w:r>
              <w:rPr>
                <w:rFonts w:ascii="Arial Narrow" w:hAnsi="Arial Narrow"/>
                <w:b/>
                <w:bCs/>
              </w:rPr>
              <w:t> </w:t>
            </w:r>
            <w:r w:rsidRPr="005220CE">
              <w:rPr>
                <w:rFonts w:ascii="Arial Narrow" w:hAnsi="Arial Narrow"/>
                <w:b/>
                <w:bCs/>
              </w:rPr>
              <w:t>376</w:t>
            </w:r>
            <w:r>
              <w:rPr>
                <w:rFonts w:ascii="Arial Narrow" w:hAnsi="Arial Narrow"/>
                <w:b/>
                <w:bCs/>
              </w:rPr>
              <w:t>,00</w:t>
            </w:r>
          </w:p>
        </w:tc>
      </w:tr>
    </w:tbl>
    <w:p w14:paraId="5ABC215F" w14:textId="77777777" w:rsidR="00200DF4" w:rsidRDefault="00200DF4" w:rsidP="00200DF4">
      <w:pPr>
        <w:jc w:val="both"/>
        <w:rPr>
          <w:rFonts w:ascii="Arial Narrow" w:hAnsi="Arial Narrow"/>
        </w:rPr>
      </w:pPr>
    </w:p>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Odsekzoznamu"/>
        <w:ind w:left="0" w:firstLine="0"/>
        <w:jc w:val="both"/>
        <w:rPr>
          <w:rFonts w:cs="Calibri"/>
          <w:szCs w:val="20"/>
        </w:rPr>
      </w:pPr>
      <w:bookmarkStart w:id="13" w:name="OLE_LINK5"/>
      <w:bookmarkStart w:id="14" w:name="OLE_LINK95"/>
      <w:bookmarkStart w:id="15" w:name="OLE_LINK122"/>
      <w:r w:rsidRPr="0070717B">
        <w:rPr>
          <w:rFonts w:cs="Calibri"/>
          <w:szCs w:val="20"/>
        </w:rPr>
        <w:t>Predpokladaný objem odobrat</w:t>
      </w:r>
      <w:bookmarkEnd w:id="13"/>
      <w:r w:rsidRPr="0070717B">
        <w:rPr>
          <w:rFonts w:cs="Calibri"/>
          <w:szCs w:val="20"/>
        </w:rPr>
        <w:t xml:space="preserve">ého </w:t>
      </w:r>
      <w:bookmarkStart w:id="16" w:name="OLE_LINK99"/>
      <w:bookmarkStart w:id="17" w:name="OLE_LINK121"/>
      <w:r w:rsidRPr="0070717B">
        <w:rPr>
          <w:rFonts w:cs="Calibri"/>
          <w:szCs w:val="20"/>
        </w:rPr>
        <w:t xml:space="preserve">plynu </w:t>
      </w:r>
      <w:bookmarkEnd w:id="16"/>
      <w:r w:rsidRPr="0070717B">
        <w:rPr>
          <w:rFonts w:cs="Calibri"/>
          <w:szCs w:val="20"/>
        </w:rPr>
        <w:t xml:space="preserve">počas </w:t>
      </w:r>
      <w:bookmarkEnd w:id="14"/>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8" w:name="OLE_LINK100"/>
      <w:r w:rsidRPr="0070717B">
        <w:rPr>
          <w:rFonts w:cs="Calibri"/>
          <w:b/>
          <w:bCs/>
          <w:szCs w:val="20"/>
        </w:rPr>
        <w:t>Predpokladaný odber</w:t>
      </w:r>
      <w:bookmarkEnd w:id="18"/>
      <w:r w:rsidRPr="0070717B">
        <w:rPr>
          <w:rFonts w:cs="Calibri"/>
          <w:szCs w:val="20"/>
        </w:rPr>
        <w:t>“)</w:t>
      </w:r>
    </w:p>
    <w:bookmarkEnd w:id="15"/>
    <w:p w14:paraId="4D5962B8" w14:textId="77777777" w:rsidR="00E21BFC" w:rsidRPr="0070717B" w:rsidRDefault="00E21BFC" w:rsidP="00E21BFC">
      <w:pPr>
        <w:pStyle w:val="Odsekzoznamu"/>
        <w:ind w:left="0"/>
        <w:jc w:val="both"/>
        <w:rPr>
          <w:rFonts w:cs="Calibri"/>
          <w:szCs w:val="20"/>
        </w:rPr>
      </w:pPr>
    </w:p>
    <w:bookmarkEnd w:id="17"/>
    <w:p w14:paraId="792CFD9D" w14:textId="4B225E86" w:rsidR="00E21BFC" w:rsidRPr="0070717B" w:rsidRDefault="00E21BFC" w:rsidP="00900915">
      <w:pPr>
        <w:pStyle w:val="Odsekzoznamu"/>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Odsekzoznamu"/>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Odsekzoznamu"/>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72FE7F55"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w:t>
            </w:r>
            <w:r w:rsidR="00D51134">
              <w:rPr>
                <w:rFonts w:ascii="Calibri" w:hAnsi="Calibri" w:cs="Calibri"/>
                <w:b/>
                <w:bCs/>
                <w:color w:val="000000"/>
                <w:sz w:val="20"/>
                <w:szCs w:val="20"/>
              </w:rPr>
              <w:t>4</w:t>
            </w:r>
            <w:r w:rsidRPr="0070717B">
              <w:rPr>
                <w:rFonts w:ascii="Calibri" w:hAnsi="Calibri" w:cs="Calibri"/>
                <w:b/>
                <w:bCs/>
                <w:color w:val="000000"/>
                <w:sz w:val="20"/>
                <w:szCs w:val="20"/>
              </w:rPr>
              <w:t xml:space="preserve"> - 31.12.202</w:t>
            </w:r>
            <w:r w:rsidR="00D51134">
              <w:rPr>
                <w:rFonts w:ascii="Calibri" w:hAnsi="Calibri" w:cs="Calibri"/>
                <w:b/>
                <w:bCs/>
                <w:color w:val="000000"/>
                <w:sz w:val="20"/>
                <w:szCs w:val="20"/>
              </w:rPr>
              <w:t>4</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W w:w="82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2973"/>
      </w:tblGrid>
      <w:tr w:rsidR="00592869" w:rsidRPr="009F208B" w14:paraId="4D5AA416" w14:textId="77777777" w:rsidTr="00BD3E40">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E97A69"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Špecifikácia ceny</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09F6D2"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Jednotková cena </w:t>
            </w:r>
            <w:r w:rsidRPr="009F208B">
              <w:rPr>
                <w:rFonts w:ascii="Arial Narrow" w:hAnsi="Arial Narrow" w:cs="Segoe UI"/>
                <w:lang w:eastAsia="sk-SK"/>
              </w:rPr>
              <w:t> </w:t>
            </w:r>
          </w:p>
          <w:p w14:paraId="7D4EA69C"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v</w:t>
            </w:r>
            <w:r w:rsidRPr="009F208B">
              <w:rPr>
                <w:rFonts w:ascii="Arial" w:hAnsi="Arial" w:cs="Arial"/>
                <w:b/>
                <w:bCs/>
                <w:lang w:eastAsia="sk-SK"/>
              </w:rPr>
              <w:t> </w:t>
            </w:r>
            <w:r w:rsidRPr="009F208B">
              <w:rPr>
                <w:rFonts w:ascii="Arial Narrow" w:hAnsi="Arial Narrow" w:cs="Segoe UI"/>
                <w:b/>
                <w:bCs/>
                <w:lang w:eastAsia="sk-SK"/>
              </w:rPr>
              <w:t>EUR/MWh bez DPH</w:t>
            </w:r>
            <w:r w:rsidRPr="009F208B">
              <w:rPr>
                <w:rFonts w:ascii="Arial Narrow" w:hAnsi="Arial Narrow" w:cs="Segoe UI"/>
                <w:lang w:eastAsia="sk-SK"/>
              </w:rPr>
              <w:t> </w:t>
            </w:r>
          </w:p>
        </w:tc>
      </w:tr>
      <w:tr w:rsidR="00592869" w:rsidRPr="009F208B" w14:paraId="588C5EA4"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5ABBF"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Cena za dodávku plynu</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AA8A5D"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p w14:paraId="678AF2AA"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592869" w:rsidRPr="009F208B" w14:paraId="1A4E2956"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78F39" w14:textId="77777777" w:rsidR="00592869" w:rsidRPr="009F208B" w:rsidRDefault="0059286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Informatívne položky</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DE48C9"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p w14:paraId="409B2102"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r w:rsidRPr="68D9709E">
              <w:rPr>
                <w:rFonts w:ascii="Arial Narrow" w:hAnsi="Arial Narrow" w:cs="Segoe UI"/>
                <w:lang w:eastAsia="sk-SK"/>
              </w:rPr>
              <w:t>-</w:t>
            </w:r>
          </w:p>
        </w:tc>
      </w:tr>
      <w:tr w:rsidR="00592869" w:rsidRPr="009F208B" w14:paraId="7FF4550B"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49964" w14:textId="77777777" w:rsidR="00592869" w:rsidRPr="009F208B" w:rsidRDefault="00592869" w:rsidP="00BD3E40">
            <w:pPr>
              <w:widowControl/>
              <w:autoSpaceDE/>
              <w:autoSpaceDN/>
              <w:ind w:left="708"/>
              <w:textAlignment w:val="baseline"/>
              <w:rPr>
                <w:rFonts w:ascii="Segoe UI" w:hAnsi="Segoe UI" w:cs="Segoe UI"/>
                <w:sz w:val="18"/>
                <w:szCs w:val="18"/>
                <w:lang w:eastAsia="sk-SK"/>
              </w:rPr>
            </w:pPr>
            <w:r w:rsidRPr="002F55B7">
              <w:rPr>
                <w:rFonts w:ascii="Arial Narrow" w:hAnsi="Arial Narrow" w:cs="Segoe UI"/>
                <w:lang w:eastAsia="sk-SK"/>
              </w:rPr>
              <w:t>Cena za odobratie množstva plynu nižšie ako 90% dohodnutého zmluvného množstva</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6CD604E"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592869" w:rsidRPr="009F208B" w14:paraId="45ED1D4D" w14:textId="77777777" w:rsidTr="00BD3E40">
        <w:trPr>
          <w:trHeight w:val="435"/>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F767D" w14:textId="77777777" w:rsidR="00592869" w:rsidRPr="009F208B" w:rsidRDefault="00592869" w:rsidP="00BD3E40">
            <w:pPr>
              <w:widowControl/>
              <w:autoSpaceDE/>
              <w:autoSpaceDN/>
              <w:ind w:left="708"/>
              <w:textAlignment w:val="baseline"/>
              <w:rPr>
                <w:rFonts w:ascii="Segoe UI" w:hAnsi="Segoe UI" w:cs="Segoe UI"/>
                <w:sz w:val="18"/>
                <w:szCs w:val="18"/>
                <w:lang w:eastAsia="sk-SK"/>
              </w:rPr>
            </w:pPr>
            <w:r w:rsidRPr="002F55B7">
              <w:rPr>
                <w:rFonts w:ascii="Arial Narrow" w:hAnsi="Arial Narrow" w:cs="Segoe UI"/>
                <w:lang w:eastAsia="sk-SK"/>
              </w:rPr>
              <w:t xml:space="preserve">Cena za odobratie množstva plynu presahujúceho 110% dohodnutého zmluvného množstva </w:t>
            </w:r>
            <w:r w:rsidRPr="009F208B">
              <w:rPr>
                <w:rFonts w:ascii="Arial Narrow" w:hAnsi="Arial Narrow" w:cs="Segoe UI"/>
                <w:lang w:eastAsia="sk-SK"/>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E217E0A" w14:textId="77777777" w:rsidR="00592869" w:rsidRPr="009F208B" w:rsidRDefault="0059286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shd w:val="clear" w:color="auto" w:fill="auto"/>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shd w:val="clear" w:color="auto" w:fill="auto"/>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9"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20" w:name="OLE_LINK85"/>
      <w:r w:rsidRPr="0070717B">
        <w:rPr>
          <w:rFonts w:cs="Calibri"/>
          <w:b/>
          <w:bCs/>
          <w:sz w:val="20"/>
          <w:szCs w:val="20"/>
        </w:rPr>
        <w:t>Výška Preddavkov</w:t>
      </w:r>
      <w:bookmarkEnd w:id="20"/>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21" w:name="OLE_LINK1"/>
      <w:bookmarkStart w:id="22"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62BC06E2"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reddavok platí (napr. Preddavok za mesiac február, je splatný 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3"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3"/>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4"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4"/>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1"/>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1"/>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1"/>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21"/>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9"/>
          <w:bookmarkEnd w:id="22"/>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BD31" w14:textId="77777777" w:rsidR="003C04AE" w:rsidRDefault="003C04AE" w:rsidP="00BA4743">
      <w:r>
        <w:separator/>
      </w:r>
    </w:p>
  </w:endnote>
  <w:endnote w:type="continuationSeparator" w:id="0">
    <w:p w14:paraId="773CA6F9" w14:textId="77777777" w:rsidR="003C04AE" w:rsidRDefault="003C04AE" w:rsidP="00BA4743">
      <w:r>
        <w:continuationSeparator/>
      </w:r>
    </w:p>
  </w:endnote>
  <w:endnote w:type="continuationNotice" w:id="1">
    <w:p w14:paraId="31CD3E7D" w14:textId="77777777" w:rsidR="003C04AE" w:rsidRDefault="003C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BF13" w14:textId="77777777" w:rsidR="003C04AE" w:rsidRDefault="003C04AE" w:rsidP="00BA4743">
      <w:r>
        <w:separator/>
      </w:r>
    </w:p>
  </w:footnote>
  <w:footnote w:type="continuationSeparator" w:id="0">
    <w:p w14:paraId="75A1D6E3" w14:textId="77777777" w:rsidR="003C04AE" w:rsidRDefault="003C04AE" w:rsidP="00BA4743">
      <w:r>
        <w:continuationSeparator/>
      </w:r>
    </w:p>
  </w:footnote>
  <w:footnote w:type="continuationNotice" w:id="1">
    <w:p w14:paraId="761E74A9" w14:textId="77777777" w:rsidR="003C04AE" w:rsidRDefault="003C0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1DD2"/>
    <w:rsid w:val="000925AB"/>
    <w:rsid w:val="000A734B"/>
    <w:rsid w:val="000B0F9D"/>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211B1"/>
    <w:rsid w:val="0014250D"/>
    <w:rsid w:val="00151414"/>
    <w:rsid w:val="001537E5"/>
    <w:rsid w:val="00153F2A"/>
    <w:rsid w:val="001644FC"/>
    <w:rsid w:val="0016498A"/>
    <w:rsid w:val="00172A8F"/>
    <w:rsid w:val="001922EA"/>
    <w:rsid w:val="001A7E7B"/>
    <w:rsid w:val="001B2021"/>
    <w:rsid w:val="001B33DC"/>
    <w:rsid w:val="001B36D8"/>
    <w:rsid w:val="001D376B"/>
    <w:rsid w:val="001D7BAF"/>
    <w:rsid w:val="001E2062"/>
    <w:rsid w:val="001E3C42"/>
    <w:rsid w:val="001E5DEB"/>
    <w:rsid w:val="001F0BEE"/>
    <w:rsid w:val="00200DF4"/>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B77F5"/>
    <w:rsid w:val="002D3E07"/>
    <w:rsid w:val="002D514A"/>
    <w:rsid w:val="002D5EEE"/>
    <w:rsid w:val="002D60FF"/>
    <w:rsid w:val="002D7ABF"/>
    <w:rsid w:val="002E6D40"/>
    <w:rsid w:val="002E76EA"/>
    <w:rsid w:val="002F3D50"/>
    <w:rsid w:val="003051BF"/>
    <w:rsid w:val="003216F7"/>
    <w:rsid w:val="0033625F"/>
    <w:rsid w:val="00336C30"/>
    <w:rsid w:val="00341B7A"/>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C04AE"/>
    <w:rsid w:val="003D0D70"/>
    <w:rsid w:val="003D5FE8"/>
    <w:rsid w:val="003E0C3A"/>
    <w:rsid w:val="003E1F07"/>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1784"/>
    <w:rsid w:val="0053271D"/>
    <w:rsid w:val="00534587"/>
    <w:rsid w:val="00540460"/>
    <w:rsid w:val="005417C3"/>
    <w:rsid w:val="005531AB"/>
    <w:rsid w:val="005551EE"/>
    <w:rsid w:val="00555A2A"/>
    <w:rsid w:val="005623D2"/>
    <w:rsid w:val="00566F21"/>
    <w:rsid w:val="00572FD4"/>
    <w:rsid w:val="00574B9F"/>
    <w:rsid w:val="005871DB"/>
    <w:rsid w:val="005875A3"/>
    <w:rsid w:val="00592869"/>
    <w:rsid w:val="00596573"/>
    <w:rsid w:val="00597860"/>
    <w:rsid w:val="005A0224"/>
    <w:rsid w:val="005A33EE"/>
    <w:rsid w:val="005B32EC"/>
    <w:rsid w:val="005D2BAB"/>
    <w:rsid w:val="005D45DE"/>
    <w:rsid w:val="005D5A82"/>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719E8"/>
    <w:rsid w:val="007739C5"/>
    <w:rsid w:val="0077648F"/>
    <w:rsid w:val="00784238"/>
    <w:rsid w:val="00786DBB"/>
    <w:rsid w:val="00787E65"/>
    <w:rsid w:val="0079671D"/>
    <w:rsid w:val="007A2D02"/>
    <w:rsid w:val="007A7B4F"/>
    <w:rsid w:val="007B4C01"/>
    <w:rsid w:val="007B65F9"/>
    <w:rsid w:val="007C1BE3"/>
    <w:rsid w:val="007C2EE7"/>
    <w:rsid w:val="007D52F0"/>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5769A"/>
    <w:rsid w:val="00862F84"/>
    <w:rsid w:val="008705EB"/>
    <w:rsid w:val="008754C6"/>
    <w:rsid w:val="0088218E"/>
    <w:rsid w:val="00886634"/>
    <w:rsid w:val="00887F3F"/>
    <w:rsid w:val="008B4171"/>
    <w:rsid w:val="008C0F91"/>
    <w:rsid w:val="008C5E7C"/>
    <w:rsid w:val="008C72B4"/>
    <w:rsid w:val="008D3E06"/>
    <w:rsid w:val="008E0F49"/>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1168"/>
    <w:rsid w:val="009C349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0585"/>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AF56A8"/>
    <w:rsid w:val="00B00DD2"/>
    <w:rsid w:val="00B04AF9"/>
    <w:rsid w:val="00B113D1"/>
    <w:rsid w:val="00B11605"/>
    <w:rsid w:val="00B2109E"/>
    <w:rsid w:val="00B238AA"/>
    <w:rsid w:val="00B24D6C"/>
    <w:rsid w:val="00B25F88"/>
    <w:rsid w:val="00B35858"/>
    <w:rsid w:val="00B36A7A"/>
    <w:rsid w:val="00B416A8"/>
    <w:rsid w:val="00B41F60"/>
    <w:rsid w:val="00B458B9"/>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5CFE"/>
    <w:rsid w:val="00BC6F72"/>
    <w:rsid w:val="00BD4A66"/>
    <w:rsid w:val="00BD4B20"/>
    <w:rsid w:val="00BE2E6C"/>
    <w:rsid w:val="00BE495E"/>
    <w:rsid w:val="00BF57AB"/>
    <w:rsid w:val="00C02B04"/>
    <w:rsid w:val="00C043C7"/>
    <w:rsid w:val="00C12186"/>
    <w:rsid w:val="00C135A8"/>
    <w:rsid w:val="00C21238"/>
    <w:rsid w:val="00C2618B"/>
    <w:rsid w:val="00C32AF6"/>
    <w:rsid w:val="00C45626"/>
    <w:rsid w:val="00C45C9E"/>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5D90"/>
    <w:rsid w:val="00D370F9"/>
    <w:rsid w:val="00D4198F"/>
    <w:rsid w:val="00D4318B"/>
    <w:rsid w:val="00D51134"/>
    <w:rsid w:val="00D56551"/>
    <w:rsid w:val="00D579BC"/>
    <w:rsid w:val="00D60AAF"/>
    <w:rsid w:val="00D66071"/>
    <w:rsid w:val="00D66C3C"/>
    <w:rsid w:val="00D7536E"/>
    <w:rsid w:val="00D83DC9"/>
    <w:rsid w:val="00D91E63"/>
    <w:rsid w:val="00DA04E5"/>
    <w:rsid w:val="00DA072B"/>
    <w:rsid w:val="00DA39F4"/>
    <w:rsid w:val="00DA787F"/>
    <w:rsid w:val="00DB1125"/>
    <w:rsid w:val="00DB26FA"/>
    <w:rsid w:val="00DC52CC"/>
    <w:rsid w:val="00DC7A5F"/>
    <w:rsid w:val="00DD0142"/>
    <w:rsid w:val="00DD0F44"/>
    <w:rsid w:val="00DD165D"/>
    <w:rsid w:val="00DD769A"/>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2D4B"/>
    <w:rsid w:val="00E86348"/>
    <w:rsid w:val="00E86EFB"/>
    <w:rsid w:val="00E975D6"/>
    <w:rsid w:val="00EB17A6"/>
    <w:rsid w:val="00EB5519"/>
    <w:rsid w:val="00ED1361"/>
    <w:rsid w:val="00ED40B6"/>
    <w:rsid w:val="00EE2399"/>
    <w:rsid w:val="00EE4733"/>
    <w:rsid w:val="00EE716C"/>
    <w:rsid w:val="00F02B8E"/>
    <w:rsid w:val="00F0342A"/>
    <w:rsid w:val="00F11F54"/>
    <w:rsid w:val="00F131D6"/>
    <w:rsid w:val="00F16980"/>
    <w:rsid w:val="00F17268"/>
    <w:rsid w:val="00F23941"/>
    <w:rsid w:val="00F274C1"/>
    <w:rsid w:val="00F32D49"/>
    <w:rsid w:val="00F35D9C"/>
    <w:rsid w:val="00F45A15"/>
    <w:rsid w:val="00F52502"/>
    <w:rsid w:val="00F5562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5095</Words>
  <Characters>29048</Characters>
  <Application>Microsoft Office Word</Application>
  <DocSecurity>0</DocSecurity>
  <Lines>242</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Veronika Sestakova</cp:lastModifiedBy>
  <cp:revision>12</cp:revision>
  <cp:lastPrinted>2022-10-10T08:41:00Z</cp:lastPrinted>
  <dcterms:created xsi:type="dcterms:W3CDTF">2023-11-22T10:44:00Z</dcterms:created>
  <dcterms:modified xsi:type="dcterms:W3CDTF">2023-12-11T11:56:00Z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