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1774CD9B"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164291">
        <w:rPr>
          <w:rFonts w:ascii="Times New Roman" w:hAnsi="Times New Roman" w:cs="Times New Roman"/>
        </w:rPr>
        <w:t>1</w:t>
      </w:r>
      <w:r w:rsidR="006719FC" w:rsidRPr="00CC2EB1">
        <w:rPr>
          <w:rFonts w:ascii="Times New Roman" w:hAnsi="Times New Roman" w:cs="Times New Roman"/>
        </w:rPr>
        <w:t>/PRV/202</w:t>
      </w:r>
      <w:r w:rsidR="00164291">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623A2B" w14:textId="77777777" w:rsidR="00BC436E" w:rsidRDefault="00BC436E" w:rsidP="00B90BD1">
      <w:pPr>
        <w:spacing w:after="0" w:line="240" w:lineRule="auto"/>
        <w:jc w:val="both"/>
        <w:rPr>
          <w:rFonts w:ascii="Times New Roman" w:hAnsi="Times New Roman" w:cs="Times New Roman"/>
          <w:b/>
          <w:sz w:val="28"/>
          <w:szCs w:val="28"/>
        </w:rPr>
      </w:pPr>
    </w:p>
    <w:p w14:paraId="1B20A4A4" w14:textId="169F7543" w:rsidR="00B90BD1" w:rsidRDefault="006719FC" w:rsidP="00B90BD1">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b/>
          <w:sz w:val="28"/>
          <w:szCs w:val="28"/>
        </w:rPr>
        <w:t xml:space="preserve">Predmet zákazky: </w:t>
      </w:r>
      <w:r w:rsidR="00B90BD1" w:rsidRPr="00B90BD1">
        <w:rPr>
          <w:rFonts w:ascii="Times New Roman" w:hAnsi="Times New Roman"/>
          <w:sz w:val="28"/>
          <w:szCs w:val="28"/>
          <w:u w:val="single"/>
        </w:rPr>
        <w:t>Obstaranie</w:t>
      </w:r>
      <w:r w:rsidR="00C16176">
        <w:rPr>
          <w:rFonts w:ascii="Times New Roman" w:hAnsi="Times New Roman"/>
          <w:sz w:val="28"/>
          <w:szCs w:val="28"/>
          <w:u w:val="single"/>
        </w:rPr>
        <w:t xml:space="preserve"> </w:t>
      </w:r>
      <w:r w:rsidR="003D3E71" w:rsidRPr="003D3E71">
        <w:rPr>
          <w:rFonts w:ascii="Times New Roman" w:hAnsi="Times New Roman"/>
          <w:sz w:val="28"/>
          <w:szCs w:val="28"/>
          <w:u w:val="single"/>
        </w:rPr>
        <w:t>Linky na výrobu sušených plátkov s vyšším stupňom automatizácie vrátane dodávky a montáže</w:t>
      </w:r>
    </w:p>
    <w:p w14:paraId="7E0E7A3A" w14:textId="4BEE96EB" w:rsidR="001377E5" w:rsidRPr="00CC2EB1" w:rsidRDefault="00B32658"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25346" w:rsidRPr="00CC2EB1" w14:paraId="5718507C" w14:textId="77777777" w:rsidTr="009C3F41">
        <w:tc>
          <w:tcPr>
            <w:tcW w:w="3020" w:type="dxa"/>
          </w:tcPr>
          <w:p w14:paraId="79D99013" w14:textId="237E872A" w:rsidR="00025346" w:rsidRPr="00CC2EB1" w:rsidRDefault="00025346" w:rsidP="00025346">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Pr>
                <w:rFonts w:ascii="Times New Roman" w:eastAsia="Times New Roman" w:hAnsi="Times New Roman" w:cs="Times New Roman"/>
                <w:b/>
                <w:color w:val="000000"/>
                <w:sz w:val="24"/>
                <w:szCs w:val="24"/>
                <w:lang w:eastAsia="sk-SK"/>
              </w:rPr>
              <w:t xml:space="preserve"> Beckove</w:t>
            </w:r>
          </w:p>
        </w:tc>
        <w:tc>
          <w:tcPr>
            <w:tcW w:w="3021" w:type="dxa"/>
          </w:tcPr>
          <w:p w14:paraId="287FE5ED" w14:textId="622F49D5" w:rsidR="00025346" w:rsidRDefault="00025346" w:rsidP="00025346">
            <w:pPr>
              <w:jc w:val="both"/>
              <w:rPr>
                <w:rFonts w:ascii="Calibri" w:eastAsia="Times New Roman" w:hAnsi="Calibri" w:cs="Times New Roman"/>
                <w:b/>
                <w:color w:val="000000"/>
                <w:sz w:val="24"/>
                <w:szCs w:val="24"/>
                <w:lang w:eastAsia="sk-SK"/>
              </w:rPr>
            </w:pPr>
            <w:r w:rsidRPr="008F5BD8">
              <w:rPr>
                <w:rFonts w:ascii="Calibri" w:eastAsia="Times New Roman" w:hAnsi="Calibri" w:cs="Times New Roman"/>
                <w:b/>
                <w:color w:val="000000"/>
                <w:sz w:val="24"/>
                <w:szCs w:val="24"/>
                <w:lang w:eastAsia="sk-SK"/>
              </w:rPr>
              <w:t>dňa</w:t>
            </w:r>
            <w:r w:rsidRPr="0011197D">
              <w:rPr>
                <w:rFonts w:ascii="Calibri" w:eastAsia="Times New Roman" w:hAnsi="Calibri" w:cs="Times New Roman"/>
                <w:b/>
                <w:color w:val="000000"/>
                <w:sz w:val="24"/>
                <w:szCs w:val="24"/>
                <w:lang w:eastAsia="sk-SK"/>
              </w:rPr>
              <w:t xml:space="preserve">  </w:t>
            </w:r>
            <w:r w:rsidR="005E5824">
              <w:rPr>
                <w:rFonts w:ascii="Calibri" w:eastAsia="Times New Roman" w:hAnsi="Calibri" w:cs="Times New Roman"/>
                <w:b/>
                <w:color w:val="000000"/>
                <w:sz w:val="24"/>
                <w:szCs w:val="24"/>
                <w:lang w:eastAsia="sk-SK"/>
              </w:rPr>
              <w:t>3</w:t>
            </w:r>
            <w:r w:rsidR="007C1C47">
              <w:rPr>
                <w:rFonts w:ascii="Calibri" w:eastAsia="Times New Roman" w:hAnsi="Calibri" w:cs="Times New Roman"/>
                <w:b/>
                <w:color w:val="000000"/>
                <w:sz w:val="24"/>
                <w:szCs w:val="24"/>
                <w:lang w:eastAsia="sk-SK"/>
              </w:rPr>
              <w:t>1</w:t>
            </w:r>
            <w:r w:rsidRPr="0011197D">
              <w:rPr>
                <w:rFonts w:ascii="Calibri" w:eastAsia="Times New Roman" w:hAnsi="Calibri" w:cs="Times New Roman"/>
                <w:b/>
                <w:color w:val="000000"/>
                <w:sz w:val="24"/>
                <w:szCs w:val="24"/>
                <w:lang w:eastAsia="sk-SK"/>
              </w:rPr>
              <w:t xml:space="preserve">. </w:t>
            </w:r>
            <w:r>
              <w:rPr>
                <w:rFonts w:ascii="Calibri" w:eastAsia="Times New Roman" w:hAnsi="Calibri" w:cs="Times New Roman"/>
                <w:b/>
                <w:color w:val="000000"/>
                <w:sz w:val="24"/>
                <w:szCs w:val="24"/>
                <w:lang w:eastAsia="sk-SK"/>
              </w:rPr>
              <w:t xml:space="preserve">decembra </w:t>
            </w:r>
            <w:r w:rsidRPr="0011197D">
              <w:rPr>
                <w:rFonts w:ascii="Calibri" w:eastAsia="Times New Roman" w:hAnsi="Calibri" w:cs="Times New Roman"/>
                <w:b/>
                <w:color w:val="000000"/>
                <w:sz w:val="24"/>
                <w:szCs w:val="24"/>
                <w:lang w:eastAsia="sk-SK"/>
              </w:rPr>
              <w:t>2023</w:t>
            </w:r>
          </w:p>
          <w:p w14:paraId="3977681D" w14:textId="77777777" w:rsidR="00025346" w:rsidRDefault="00025346" w:rsidP="00025346">
            <w:pPr>
              <w:jc w:val="both"/>
              <w:rPr>
                <w:rFonts w:ascii="Calibri" w:eastAsia="Times New Roman" w:hAnsi="Calibri" w:cs="Times New Roman"/>
                <w:b/>
                <w:color w:val="000000"/>
                <w:sz w:val="24"/>
                <w:szCs w:val="24"/>
                <w:lang w:eastAsia="sk-SK"/>
              </w:rPr>
            </w:pPr>
          </w:p>
          <w:p w14:paraId="28EB710B" w14:textId="6C768276" w:rsidR="00025346" w:rsidRPr="00CC2EB1" w:rsidRDefault="00025346" w:rsidP="00025346">
            <w:pPr>
              <w:jc w:val="both"/>
              <w:rPr>
                <w:rFonts w:ascii="Times New Roman" w:eastAsia="Times New Roman" w:hAnsi="Times New Roman" w:cs="Times New Roman"/>
                <w:color w:val="000000"/>
                <w:lang w:eastAsia="sk-SK"/>
              </w:rPr>
            </w:pPr>
          </w:p>
        </w:tc>
        <w:tc>
          <w:tcPr>
            <w:tcW w:w="3021" w:type="dxa"/>
          </w:tcPr>
          <w:p w14:paraId="6B5C82F1" w14:textId="77777777" w:rsidR="00025346" w:rsidRPr="00CC2EB1" w:rsidRDefault="00025346" w:rsidP="00025346">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50D79E01" w14:textId="77777777" w:rsidR="00164291" w:rsidRDefault="00164291" w:rsidP="00164291">
            <w:pPr>
              <w:jc w:val="both"/>
              <w:rPr>
                <w:b/>
                <w:bCs/>
              </w:rPr>
            </w:pPr>
            <w:r w:rsidRPr="009B3840">
              <w:rPr>
                <w:b/>
                <w:bCs/>
              </w:rPr>
              <w:t xml:space="preserve">Bezodpadová technológia spracovania produkcie z BIO sadov </w:t>
            </w:r>
          </w:p>
          <w:p w14:paraId="66335974" w14:textId="7AD5654D" w:rsidR="00B32658" w:rsidRPr="00137285" w:rsidRDefault="00164291" w:rsidP="00164291">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5A35872A"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3D3E71" w:rsidRPr="00D86C57">
        <w:rPr>
          <w:rFonts w:ascii="Times New Roman" w:hAnsi="Times New Roman" w:cs="Times New Roman"/>
          <w:sz w:val="24"/>
          <w:szCs w:val="24"/>
          <w:u w:val="single"/>
        </w:rPr>
        <w:t>Obstaranie Linky na výrobu sušených plátkov s vyšším stupňom automatizácie vrátane dodávky a</w:t>
      </w:r>
      <w:r w:rsidR="003D3E71">
        <w:rPr>
          <w:rFonts w:ascii="Times New Roman" w:hAnsi="Times New Roman" w:cs="Times New Roman"/>
          <w:sz w:val="24"/>
          <w:szCs w:val="24"/>
          <w:u w:val="single"/>
        </w:rPr>
        <w:t> </w:t>
      </w:r>
      <w:r w:rsidR="003D3E71" w:rsidRPr="00D86C57">
        <w:rPr>
          <w:rFonts w:ascii="Times New Roman" w:hAnsi="Times New Roman" w:cs="Times New Roman"/>
          <w:sz w:val="24"/>
          <w:szCs w:val="24"/>
          <w:u w:val="single"/>
        </w:rPr>
        <w:t>montáže</w:t>
      </w:r>
      <w:r w:rsidR="003D3E71">
        <w:rPr>
          <w:rFonts w:ascii="Arial" w:hAnsi="Arial" w:cs="Arial"/>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1FCD5737"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1B1781" w:rsidRPr="001B1781">
        <w:rPr>
          <w:rFonts w:ascii="Calibri" w:hAnsi="Calibri" w:cs="Calibri"/>
          <w:b/>
          <w:bCs/>
          <w:color w:val="000000"/>
          <w:u w:val="single"/>
        </w:rPr>
        <w:t>564 000,00</w:t>
      </w:r>
      <w:r w:rsidR="001B1781">
        <w:rPr>
          <w:rFonts w:ascii="Calibri" w:hAnsi="Calibri" w:cs="Calibri"/>
          <w:color w:val="000000"/>
        </w:rPr>
        <w:t xml:space="preserve"> </w:t>
      </w:r>
      <w:r w:rsidRPr="00BC7292">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1DC7DB06"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3D3E71" w:rsidRPr="004B33D9">
        <w:rPr>
          <w:rFonts w:ascii="Calibri" w:eastAsia="Times New Roman" w:hAnsi="Calibri" w:cs="Calibri"/>
          <w:color w:val="000000"/>
          <w:sz w:val="22"/>
          <w:szCs w:val="22"/>
          <w:lang w:eastAsia="sk-SK"/>
        </w:rPr>
        <w:t>42215000-6 ( Zariadenia na priemyselnú prípravu alebo výrobu potravín alebo nápojov)</w:t>
      </w:r>
      <w:r w:rsidR="003D3E71">
        <w:rPr>
          <w:rFonts w:ascii="Calibri" w:eastAsia="Times New Roman" w:hAnsi="Calibri" w:cs="Calibri"/>
          <w:color w:val="000000"/>
          <w:sz w:val="22"/>
          <w:szCs w:val="22"/>
          <w:lang w:eastAsia="sk-SK"/>
        </w:rPr>
        <w:t>.</w:t>
      </w:r>
    </w:p>
    <w:p w14:paraId="2D9283D8" w14:textId="3381EE2B"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opatrenie 4.</w:t>
      </w:r>
      <w:r w:rsidR="00164291" w:rsidRPr="00484535">
        <w:rPr>
          <w:rFonts w:ascii="Times New Roman" w:hAnsi="Times New Roman" w:cs="Times New Roman"/>
        </w:rPr>
        <w:t>2</w:t>
      </w:r>
      <w:r w:rsidRPr="00484535">
        <w:rPr>
          <w:rFonts w:ascii="Times New Roman" w:hAnsi="Times New Roman" w:cs="Times New Roman"/>
        </w:rPr>
        <w:t xml:space="preserve">: </w:t>
      </w:r>
      <w:r w:rsidR="00164291"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lastRenderedPageBreak/>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18960142"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5E5824" w:rsidRPr="005E5824">
        <w:rPr>
          <w:rFonts w:ascii="Times New Roman" w:eastAsia="Times New Roman" w:hAnsi="Times New Roman" w:cs="Times New Roman"/>
          <w:b/>
          <w:sz w:val="24"/>
          <w:szCs w:val="24"/>
          <w:u w:val="single"/>
          <w:lang w:eastAsia="sk-SK"/>
        </w:rPr>
        <w:t>1</w:t>
      </w:r>
      <w:r w:rsidR="007C1C47">
        <w:rPr>
          <w:rFonts w:ascii="Times New Roman" w:eastAsia="Times New Roman" w:hAnsi="Times New Roman" w:cs="Times New Roman"/>
          <w:b/>
          <w:sz w:val="24"/>
          <w:szCs w:val="24"/>
          <w:u w:val="single"/>
          <w:lang w:eastAsia="sk-SK"/>
        </w:rPr>
        <w:t>2</w:t>
      </w:r>
      <w:r w:rsidR="005E5824" w:rsidRPr="005E5824">
        <w:rPr>
          <w:rFonts w:ascii="Times New Roman" w:eastAsia="Times New Roman" w:hAnsi="Times New Roman" w:cs="Times New Roman"/>
          <w:b/>
          <w:sz w:val="24"/>
          <w:szCs w:val="24"/>
          <w:u w:val="single"/>
          <w:lang w:eastAsia="sk-SK"/>
        </w:rPr>
        <w:t>.01.202</w:t>
      </w:r>
      <w:r w:rsidR="005E5824">
        <w:rPr>
          <w:rFonts w:ascii="Times New Roman" w:eastAsia="Times New Roman" w:hAnsi="Times New Roman" w:cs="Times New Roman"/>
          <w:b/>
          <w:sz w:val="24"/>
          <w:szCs w:val="24"/>
          <w:u w:val="single"/>
          <w:lang w:eastAsia="sk-SK"/>
        </w:rPr>
        <w:t>4</w:t>
      </w:r>
      <w:r w:rsidR="005E5824" w:rsidRPr="005E5824">
        <w:rPr>
          <w:rFonts w:ascii="Times New Roman" w:eastAsia="Times New Roman" w:hAnsi="Times New Roman" w:cs="Times New Roman"/>
          <w:b/>
          <w:sz w:val="24"/>
          <w:szCs w:val="24"/>
          <w:u w:val="single"/>
          <w:lang w:eastAsia="sk-SK"/>
        </w:rPr>
        <w:t xml:space="preserve"> </w:t>
      </w:r>
      <w:r w:rsidR="00F67DE0" w:rsidRPr="005E5824">
        <w:rPr>
          <w:rFonts w:ascii="Times New Roman" w:eastAsia="Times New Roman" w:hAnsi="Times New Roman" w:cs="Times New Roman"/>
          <w:b/>
          <w:sz w:val="24"/>
          <w:szCs w:val="24"/>
          <w:u w:val="single"/>
          <w:lang w:eastAsia="sk-SK"/>
        </w:rPr>
        <w:t>do 08</w:t>
      </w:r>
      <w:r w:rsidR="00F67DE0" w:rsidRPr="00CC1DDD">
        <w:rPr>
          <w:rFonts w:ascii="Times New Roman" w:eastAsia="Times New Roman" w:hAnsi="Times New Roman" w:cs="Times New Roman"/>
          <w:b/>
          <w:sz w:val="24"/>
          <w:szCs w:val="24"/>
          <w:u w:val="single"/>
          <w:lang w:eastAsia="sk-SK"/>
        </w:rPr>
        <w:t>:00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55D55EF9" w14:textId="77777777" w:rsidR="00025346" w:rsidRPr="00CC2EB1" w:rsidRDefault="00025346" w:rsidP="00025346">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w:t>
      </w:r>
      <w:r w:rsidRPr="00DC34FD">
        <w:rPr>
          <w:rFonts w:ascii="Times New Roman" w:hAnsi="Times New Roman" w:cs="Times New Roman"/>
          <w:b/>
          <w:bCs/>
        </w:rPr>
        <w:t>osobného postavenia</w:t>
      </w:r>
      <w:r w:rsidRPr="00CC2EB1">
        <w:rPr>
          <w:rFonts w:ascii="Times New Roman" w:hAnsi="Times New Roman" w:cs="Times New Roman"/>
        </w:rPr>
        <w:t xml:space="preserve">: </w:t>
      </w:r>
    </w:p>
    <w:p w14:paraId="75A95803" w14:textId="77777777" w:rsidR="00025346" w:rsidRDefault="00025346" w:rsidP="00025346">
      <w:pPr>
        <w:spacing w:after="0" w:line="240" w:lineRule="auto"/>
        <w:ind w:left="708" w:hanging="566"/>
        <w:jc w:val="both"/>
      </w:pPr>
      <w:r>
        <w:t xml:space="preserve">a) je oprávnený dodávať tovar, uskutočňovať stavebné práce alebo poskytovať službu v rozsahu, ktorý zodpovedá predmetu zákazky. </w:t>
      </w:r>
    </w:p>
    <w:p w14:paraId="7CA257F5" w14:textId="77777777" w:rsidR="00025346" w:rsidRDefault="00025346" w:rsidP="00025346">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7B154F5B" w14:textId="77777777" w:rsidR="00025346" w:rsidRPr="0000278A" w:rsidRDefault="00025346" w:rsidP="00025346">
      <w:pPr>
        <w:spacing w:after="0" w:line="240" w:lineRule="auto"/>
        <w:ind w:left="708" w:hanging="566"/>
        <w:jc w:val="both"/>
        <w:rPr>
          <w:b/>
          <w:bCs/>
        </w:rPr>
      </w:pPr>
    </w:p>
    <w:p w14:paraId="7B9251E9" w14:textId="77777777" w:rsidR="00025346" w:rsidRPr="0000278A" w:rsidRDefault="00025346" w:rsidP="00025346">
      <w:pPr>
        <w:spacing w:after="0" w:line="240" w:lineRule="auto"/>
        <w:ind w:left="708" w:hanging="566"/>
        <w:jc w:val="both"/>
        <w:rPr>
          <w:b/>
          <w:bCs/>
        </w:rPr>
      </w:pPr>
      <w:r w:rsidRPr="0000278A">
        <w:rPr>
          <w:b/>
          <w:bCs/>
        </w:rPr>
        <w:t>Uvedené podmienky uchádzač nedokladuje</w:t>
      </w:r>
      <w:r>
        <w:rPr>
          <w:b/>
          <w:bCs/>
        </w:rPr>
        <w:t xml:space="preserve">. </w:t>
      </w:r>
      <w:r w:rsidRPr="00DC34FD">
        <w:rPr>
          <w:b/>
          <w:bCs/>
          <w:u w:val="single"/>
        </w:rPr>
        <w:t>Predkladá sa iba Čestné vyhlásenie</w:t>
      </w:r>
      <w:r>
        <w:rPr>
          <w:b/>
          <w:bCs/>
        </w:rPr>
        <w:t xml:space="preserve">. </w:t>
      </w:r>
      <w:r w:rsidRPr="0000278A">
        <w:rPr>
          <w:b/>
          <w:bCs/>
        </w:rPr>
        <w:t xml:space="preserve"> </w:t>
      </w:r>
      <w:r>
        <w:rPr>
          <w:b/>
          <w:bCs/>
        </w:rPr>
        <w:t>P</w:t>
      </w:r>
      <w:r w:rsidRPr="0000278A">
        <w:rPr>
          <w:b/>
          <w:bCs/>
        </w:rPr>
        <w:t>odmienky účasti overí obstarávateľ z verejne dostupných zdrojov v procese vyhodnotenia cenových ponúk.</w:t>
      </w:r>
    </w:p>
    <w:p w14:paraId="375D6197" w14:textId="77777777" w:rsidR="00025346" w:rsidRDefault="00025346" w:rsidP="00025346">
      <w:pPr>
        <w:spacing w:after="0" w:line="240" w:lineRule="auto"/>
        <w:ind w:left="708" w:hanging="566"/>
        <w:jc w:val="both"/>
        <w:rPr>
          <w:rFonts w:ascii="Times New Roman" w:hAnsi="Times New Roman" w:cs="Times New Roman"/>
        </w:rPr>
      </w:pPr>
    </w:p>
    <w:p w14:paraId="1475A0C5" w14:textId="77777777" w:rsidR="00025346" w:rsidRDefault="00025346" w:rsidP="00025346">
      <w:pPr>
        <w:spacing w:after="0" w:line="240" w:lineRule="auto"/>
        <w:ind w:left="708" w:hanging="566"/>
        <w:jc w:val="both"/>
      </w:pPr>
      <w:r>
        <w:t xml:space="preserve">4.1.1 Ak si skutočnosti preukazujúce splnenie podmienok účasti </w:t>
      </w:r>
      <w:r w:rsidRPr="00FF3D81">
        <w:rPr>
          <w:b/>
          <w:bCs/>
        </w:rPr>
        <w:t>osobného postavenia</w:t>
      </w:r>
      <w:r>
        <w:t xml:space="preserve"> prijímateľ nedokáže overiť cez verejne dostupné registre, je úspešný uchádzač na základe žiadosti prijímateľa </w:t>
      </w:r>
      <w:r w:rsidRPr="0000278A">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7FA560E8" w14:textId="77777777" w:rsidR="00025346" w:rsidRDefault="00025346" w:rsidP="00025346">
      <w:pPr>
        <w:spacing w:after="0" w:line="240" w:lineRule="auto"/>
        <w:ind w:left="708" w:hanging="566"/>
        <w:jc w:val="both"/>
        <w:rPr>
          <w:rFonts w:ascii="Times New Roman" w:hAnsi="Times New Roman" w:cs="Times New Roman"/>
        </w:rPr>
      </w:pPr>
    </w:p>
    <w:p w14:paraId="06839F18" w14:textId="77777777" w:rsidR="00025346" w:rsidRPr="00CC2EB1" w:rsidRDefault="00025346" w:rsidP="00025346">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4.2. Podmienky účasti potencionálneho dodávateľa týkajúce sa </w:t>
      </w:r>
      <w:r w:rsidRPr="00FF3D81">
        <w:rPr>
          <w:rFonts w:ascii="Times New Roman" w:hAnsi="Times New Roman" w:cs="Times New Roman"/>
          <w:b/>
          <w:bCs/>
        </w:rPr>
        <w:t>finančného a ekonomického postavenia a technickej alebo odbornej spôsobilosti</w:t>
      </w:r>
      <w:r w:rsidRPr="00CC2EB1">
        <w:rPr>
          <w:rFonts w:ascii="Times New Roman" w:hAnsi="Times New Roman" w:cs="Times New Roman"/>
        </w:rPr>
        <w:t xml:space="preserve">: </w:t>
      </w:r>
      <w:r>
        <w:rPr>
          <w:rFonts w:ascii="Times New Roman" w:hAnsi="Times New Roman" w:cs="Times New Roman"/>
        </w:rPr>
        <w:t xml:space="preserve"> </w:t>
      </w:r>
      <w:r w:rsidRPr="00B90BD1">
        <w:rPr>
          <w:rFonts w:ascii="Times New Roman" w:hAnsi="Times New Roman" w:cs="Times New Roman"/>
          <w:b/>
          <w:u w:val="single"/>
        </w:rPr>
        <w:t>nevyžaduje sa.</w:t>
      </w:r>
    </w:p>
    <w:p w14:paraId="027B041C" w14:textId="77777777" w:rsidR="00025346" w:rsidRPr="00CC2EB1" w:rsidRDefault="00025346" w:rsidP="00025346">
      <w:pPr>
        <w:spacing w:after="0" w:line="240" w:lineRule="auto"/>
        <w:ind w:left="708"/>
        <w:jc w:val="both"/>
        <w:rPr>
          <w:rFonts w:ascii="Times New Roman" w:hAnsi="Times New Roman" w:cs="Times New Roman"/>
        </w:rPr>
      </w:pPr>
    </w:p>
    <w:p w14:paraId="445955FA" w14:textId="77777777" w:rsidR="00025346" w:rsidRPr="00CC2EB1" w:rsidRDefault="00025346" w:rsidP="00025346">
      <w:pPr>
        <w:spacing w:after="0" w:line="240" w:lineRule="auto"/>
        <w:ind w:left="142"/>
        <w:jc w:val="both"/>
        <w:rPr>
          <w:rFonts w:ascii="Times New Roman" w:hAnsi="Times New Roman" w:cs="Times New Roman"/>
        </w:rPr>
      </w:pPr>
      <w:r>
        <w:t xml:space="preserve">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w:t>
      </w:r>
      <w:r>
        <w:lastRenderedPageBreak/>
        <w:t>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32442D51" w14:textId="77777777" w:rsidR="00025346" w:rsidRPr="00CC2EB1" w:rsidRDefault="00025346" w:rsidP="00025346">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4.3. Ak potencionálny dodávateľ </w:t>
      </w:r>
      <w:r w:rsidRPr="00BC7292">
        <w:rPr>
          <w:rFonts w:ascii="Times New Roman" w:hAnsi="Times New Roman" w:cs="Times New Roman"/>
          <w:u w:val="single"/>
        </w:rPr>
        <w:t>nemá sídlo v Slovenskej republike</w:t>
      </w:r>
      <w:r w:rsidRPr="00CC2EB1">
        <w:rPr>
          <w:rFonts w:ascii="Times New Roman" w:hAnsi="Times New Roman" w:cs="Times New Roman"/>
        </w:rPr>
        <w:t xml:space="preserve"> a krajina jeho sídla nevydáva niektoré z dokladov uvedených v bode 4.1. a 4.2. alebo nevydáva ani rovnocenné doklady, </w:t>
      </w:r>
      <w:r w:rsidRPr="00BC7292">
        <w:rPr>
          <w:rFonts w:ascii="Times New Roman" w:hAnsi="Times New Roman" w:cs="Times New Roman"/>
          <w:b/>
          <w:bCs/>
          <w:u w:val="single"/>
        </w:rPr>
        <w:t>možno ich nahradiť čestným vyhlásením</w:t>
      </w:r>
      <w:r w:rsidRPr="00CC2EB1">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4B6251B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02377C">
        <w:rPr>
          <w:rFonts w:ascii="Times New Roman" w:hAnsi="Times New Roman" w:cs="Times New Roman"/>
          <w:b/>
          <w:bCs/>
        </w:rPr>
        <w:t>4</w:t>
      </w:r>
      <w:r w:rsidR="00F0397A" w:rsidRPr="00B5164A">
        <w:rPr>
          <w:rFonts w:ascii="Times New Roman" w:hAnsi="Times New Roman" w:cs="Times New Roman"/>
          <w:b/>
          <w:bCs/>
        </w:rPr>
        <w:t xml:space="preserve"> mesiac</w:t>
      </w:r>
      <w:r w:rsidR="0002377C">
        <w:rPr>
          <w:rFonts w:ascii="Times New Roman" w:hAnsi="Times New Roman" w:cs="Times New Roman"/>
          <w:b/>
          <w:bCs/>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18B99262"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5E5824" w:rsidRPr="005E5824">
        <w:rPr>
          <w:rFonts w:ascii="Times New Roman" w:eastAsia="Times New Roman" w:hAnsi="Times New Roman" w:cs="Times New Roman"/>
          <w:b/>
          <w:sz w:val="24"/>
          <w:szCs w:val="24"/>
          <w:u w:val="single"/>
          <w:lang w:eastAsia="sk-SK"/>
        </w:rPr>
        <w:t>1</w:t>
      </w:r>
      <w:r w:rsidR="007C1C47">
        <w:rPr>
          <w:rFonts w:ascii="Times New Roman" w:eastAsia="Times New Roman" w:hAnsi="Times New Roman" w:cs="Times New Roman"/>
          <w:b/>
          <w:sz w:val="24"/>
          <w:szCs w:val="24"/>
          <w:u w:val="single"/>
          <w:lang w:eastAsia="sk-SK"/>
        </w:rPr>
        <w:t>2</w:t>
      </w:r>
      <w:r w:rsidR="005E5824" w:rsidRPr="005E5824">
        <w:rPr>
          <w:rFonts w:ascii="Times New Roman" w:eastAsia="Times New Roman" w:hAnsi="Times New Roman" w:cs="Times New Roman"/>
          <w:b/>
          <w:sz w:val="24"/>
          <w:szCs w:val="24"/>
          <w:u w:val="single"/>
          <w:lang w:eastAsia="sk-SK"/>
        </w:rPr>
        <w:t>.01.202</w:t>
      </w:r>
      <w:r w:rsidR="005E5824">
        <w:rPr>
          <w:rFonts w:ascii="Times New Roman" w:eastAsia="Times New Roman" w:hAnsi="Times New Roman" w:cs="Times New Roman"/>
          <w:b/>
          <w:sz w:val="24"/>
          <w:szCs w:val="24"/>
          <w:u w:val="single"/>
          <w:lang w:eastAsia="sk-SK"/>
        </w:rPr>
        <w:t>4</w:t>
      </w:r>
      <w:r w:rsidR="005E5824" w:rsidRPr="005E5824">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F96F" w14:textId="77777777" w:rsidR="00E67A77" w:rsidRDefault="00E67A77" w:rsidP="008740BA">
      <w:pPr>
        <w:spacing w:after="0" w:line="240" w:lineRule="auto"/>
      </w:pPr>
      <w:r>
        <w:separator/>
      </w:r>
    </w:p>
  </w:endnote>
  <w:endnote w:type="continuationSeparator" w:id="0">
    <w:p w14:paraId="153F0F70" w14:textId="77777777" w:rsidR="00E67A77" w:rsidRDefault="00E67A7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E0E8" w14:textId="77777777" w:rsidR="00E67A77" w:rsidRDefault="00E67A77" w:rsidP="008740BA">
      <w:pPr>
        <w:spacing w:after="0" w:line="240" w:lineRule="auto"/>
      </w:pPr>
      <w:r>
        <w:separator/>
      </w:r>
    </w:p>
  </w:footnote>
  <w:footnote w:type="continuationSeparator" w:id="0">
    <w:p w14:paraId="13208A3E" w14:textId="77777777" w:rsidR="00E67A77" w:rsidRDefault="00E67A77"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25346"/>
    <w:rsid w:val="000465C8"/>
    <w:rsid w:val="0006634B"/>
    <w:rsid w:val="000835C2"/>
    <w:rsid w:val="000C4E30"/>
    <w:rsid w:val="000D3D39"/>
    <w:rsid w:val="00137285"/>
    <w:rsid w:val="001377E5"/>
    <w:rsid w:val="00141BE7"/>
    <w:rsid w:val="00164291"/>
    <w:rsid w:val="00173814"/>
    <w:rsid w:val="00180C3B"/>
    <w:rsid w:val="00185F90"/>
    <w:rsid w:val="00197CE8"/>
    <w:rsid w:val="001B1781"/>
    <w:rsid w:val="001C7AC8"/>
    <w:rsid w:val="001E15FF"/>
    <w:rsid w:val="00200BA7"/>
    <w:rsid w:val="00202C25"/>
    <w:rsid w:val="002146F1"/>
    <w:rsid w:val="00215955"/>
    <w:rsid w:val="00225FA0"/>
    <w:rsid w:val="00234DDA"/>
    <w:rsid w:val="002371AB"/>
    <w:rsid w:val="0024367F"/>
    <w:rsid w:val="00253C50"/>
    <w:rsid w:val="002646CC"/>
    <w:rsid w:val="00275507"/>
    <w:rsid w:val="00280798"/>
    <w:rsid w:val="002848FC"/>
    <w:rsid w:val="002B533C"/>
    <w:rsid w:val="002D2DDA"/>
    <w:rsid w:val="002E0B88"/>
    <w:rsid w:val="002E29E7"/>
    <w:rsid w:val="00305A70"/>
    <w:rsid w:val="00337311"/>
    <w:rsid w:val="00337E13"/>
    <w:rsid w:val="003416BD"/>
    <w:rsid w:val="0036516A"/>
    <w:rsid w:val="00371C92"/>
    <w:rsid w:val="00380AA4"/>
    <w:rsid w:val="00394F4D"/>
    <w:rsid w:val="003D3E71"/>
    <w:rsid w:val="003D4DE1"/>
    <w:rsid w:val="004260F0"/>
    <w:rsid w:val="00440F64"/>
    <w:rsid w:val="0046064F"/>
    <w:rsid w:val="00462689"/>
    <w:rsid w:val="00477D60"/>
    <w:rsid w:val="00484535"/>
    <w:rsid w:val="004B33D9"/>
    <w:rsid w:val="004C0CDA"/>
    <w:rsid w:val="004D6EC8"/>
    <w:rsid w:val="005422D5"/>
    <w:rsid w:val="0055035E"/>
    <w:rsid w:val="00553A5E"/>
    <w:rsid w:val="00556AB9"/>
    <w:rsid w:val="00564E2B"/>
    <w:rsid w:val="00570092"/>
    <w:rsid w:val="00572D60"/>
    <w:rsid w:val="005768E4"/>
    <w:rsid w:val="005A0B72"/>
    <w:rsid w:val="005B1E83"/>
    <w:rsid w:val="005B5889"/>
    <w:rsid w:val="005E5824"/>
    <w:rsid w:val="00601742"/>
    <w:rsid w:val="00614A93"/>
    <w:rsid w:val="0063120B"/>
    <w:rsid w:val="006544C6"/>
    <w:rsid w:val="006719FC"/>
    <w:rsid w:val="00680402"/>
    <w:rsid w:val="006A773D"/>
    <w:rsid w:val="006B0754"/>
    <w:rsid w:val="006B40C7"/>
    <w:rsid w:val="00701763"/>
    <w:rsid w:val="0070641A"/>
    <w:rsid w:val="00730BE9"/>
    <w:rsid w:val="00785E99"/>
    <w:rsid w:val="00791919"/>
    <w:rsid w:val="007C1C47"/>
    <w:rsid w:val="007D0061"/>
    <w:rsid w:val="007D00D0"/>
    <w:rsid w:val="007D2847"/>
    <w:rsid w:val="007F1CEE"/>
    <w:rsid w:val="008051CB"/>
    <w:rsid w:val="0083764D"/>
    <w:rsid w:val="00851B45"/>
    <w:rsid w:val="0086644C"/>
    <w:rsid w:val="008740BA"/>
    <w:rsid w:val="0088312A"/>
    <w:rsid w:val="008A41E3"/>
    <w:rsid w:val="008A438C"/>
    <w:rsid w:val="008B25A8"/>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436E"/>
    <w:rsid w:val="00BC7292"/>
    <w:rsid w:val="00BD6570"/>
    <w:rsid w:val="00BD76D0"/>
    <w:rsid w:val="00C00729"/>
    <w:rsid w:val="00C056C5"/>
    <w:rsid w:val="00C05A19"/>
    <w:rsid w:val="00C070DC"/>
    <w:rsid w:val="00C16176"/>
    <w:rsid w:val="00C44FFD"/>
    <w:rsid w:val="00C5369E"/>
    <w:rsid w:val="00C64336"/>
    <w:rsid w:val="00C8105A"/>
    <w:rsid w:val="00CC1DDD"/>
    <w:rsid w:val="00CC2EB1"/>
    <w:rsid w:val="00D07C53"/>
    <w:rsid w:val="00D13075"/>
    <w:rsid w:val="00D32EB2"/>
    <w:rsid w:val="00D408A1"/>
    <w:rsid w:val="00D672D6"/>
    <w:rsid w:val="00D7453E"/>
    <w:rsid w:val="00DC5171"/>
    <w:rsid w:val="00DF539E"/>
    <w:rsid w:val="00E03E08"/>
    <w:rsid w:val="00E14BEB"/>
    <w:rsid w:val="00E247E9"/>
    <w:rsid w:val="00E318A8"/>
    <w:rsid w:val="00E474C2"/>
    <w:rsid w:val="00E514F1"/>
    <w:rsid w:val="00E67A77"/>
    <w:rsid w:val="00E72588"/>
    <w:rsid w:val="00E751AB"/>
    <w:rsid w:val="00E873E4"/>
    <w:rsid w:val="00E91538"/>
    <w:rsid w:val="00E94167"/>
    <w:rsid w:val="00EA5764"/>
    <w:rsid w:val="00EC5A6B"/>
    <w:rsid w:val="00EE705A"/>
    <w:rsid w:val="00F014C2"/>
    <w:rsid w:val="00F0397A"/>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4169</Words>
  <Characters>23766</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58</cp:revision>
  <dcterms:created xsi:type="dcterms:W3CDTF">2023-06-27T10:29:00Z</dcterms:created>
  <dcterms:modified xsi:type="dcterms:W3CDTF">2024-01-01T16:41:00Z</dcterms:modified>
</cp:coreProperties>
</file>