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057A5655"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r w:rsidR="00DC69BC">
        <w:rPr>
          <w:rFonts w:ascii="Cambria" w:hAnsi="Cambria" w:cs="Arial"/>
          <w:b/>
          <w:bCs/>
          <w:sz w:val="22"/>
          <w:szCs w:val="22"/>
        </w:rPr>
        <w:t xml:space="preserve"> ZG.270.1.2024</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64019220" w14:textId="5F4339DD" w:rsidR="0013110C" w:rsidRPr="004B3338" w:rsidRDefault="00810074" w:rsidP="00810074">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59FEB432"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Zamawiający zleca, a Wykonawca przyjmuje do wykonania usługi z zakresu gospodarki leśnej polegające na wykonaniu zamówienia pn. </w:t>
      </w:r>
      <w:r w:rsidR="00DC69BC">
        <w:rPr>
          <w:rFonts w:ascii="Cambria" w:hAnsi="Cambria" w:cs="Arial"/>
          <w:sz w:val="22"/>
          <w:szCs w:val="22"/>
          <w:lang w:eastAsia="pl-PL"/>
        </w:rPr>
        <w:t>Wykonywanie usług z zakresu gospodarki leśnej na terenie Nadleśnictwa Kobiór w roku 2024 – II TURA, pakiet ………….</w:t>
      </w:r>
      <w:r w:rsidRPr="004B3338">
        <w:rPr>
          <w:rFonts w:ascii="Cambria" w:hAnsi="Cambria" w:cs="Arial"/>
          <w:sz w:val="22"/>
          <w:szCs w:val="22"/>
          <w:lang w:eastAsia="pl-PL"/>
        </w:rPr>
        <w:t xml:space="preserve">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lastRenderedPageBreak/>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xml:space="preserve">) oraz </w:t>
      </w:r>
      <w:r w:rsidRPr="004B3338">
        <w:rPr>
          <w:rFonts w:ascii="Cambria" w:hAnsi="Cambria"/>
          <w:sz w:val="22"/>
          <w:szCs w:val="22"/>
          <w:lang w:eastAsia="pl-PL"/>
        </w:rPr>
        <w:t>PEFC Council (</w:t>
      </w:r>
      <w:r w:rsidRPr="004B3338">
        <w:rPr>
          <w:rFonts w:ascii="Cambria" w:hAnsi="Cambria"/>
          <w:i/>
          <w:iCs/>
          <w:sz w:val="22"/>
          <w:szCs w:val="22"/>
          <w:lang w:eastAsia="pl-PL"/>
        </w:rPr>
        <w:t>Programme for the Endorsement of Forest Certification Schemes</w:t>
      </w:r>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oraz PEFC Council (</w:t>
      </w:r>
      <w:r w:rsidRPr="004B3338">
        <w:rPr>
          <w:rFonts w:ascii="Cambria" w:hAnsi="Cambria" w:cs="Arial"/>
          <w:i/>
          <w:iCs/>
          <w:sz w:val="22"/>
          <w:szCs w:val="22"/>
          <w:lang w:eastAsia="pl-PL"/>
        </w:rPr>
        <w:t>Programme for the Endorsement of Forest Certification Schemes</w:t>
      </w:r>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 xml:space="preserve">okresu realizacji </w:t>
      </w:r>
      <w:r w:rsidR="00E81E63" w:rsidRPr="00375794">
        <w:rPr>
          <w:rFonts w:ascii="Cambria" w:hAnsi="Cambria" w:cs="Arial"/>
          <w:sz w:val="22"/>
          <w:szCs w:val="22"/>
          <w:lang w:eastAsia="pl-PL"/>
        </w:rPr>
        <w:lastRenderedPageBreak/>
        <w:t>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lastRenderedPageBreak/>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52308E9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46606">
        <w:rPr>
          <w:rFonts w:ascii="Cambria" w:hAnsi="Cambria" w:cs="Arial"/>
          <w:sz w:val="22"/>
          <w:szCs w:val="22"/>
          <w:lang w:eastAsia="pl-PL"/>
        </w:rPr>
        <w:t xml:space="preserve"> </w:t>
      </w:r>
      <w:bookmarkStart w:id="14" w:name="_GoBack"/>
      <w:bookmarkEnd w:id="14"/>
      <w:r w:rsidR="007A7F47" w:rsidRPr="004B3338">
        <w:rPr>
          <w:rFonts w:ascii="Cambria" w:hAnsi="Cambria" w:cs="Arial"/>
          <w:sz w:val="22"/>
          <w:szCs w:val="22"/>
          <w:lang w:eastAsia="pl-PL"/>
        </w:rPr>
        <w:t>do dnia 31 grudnia 2024 r.</w:t>
      </w:r>
      <w:bookmarkStart w:id="15" w:name="_Hlk137747741"/>
      <w:r w:rsidR="004B3CE3" w:rsidRPr="004B3338">
        <w:rPr>
          <w:rFonts w:ascii="Cambria" w:hAnsi="Cambria" w:cs="Arial"/>
          <w:sz w:val="22"/>
          <w:szCs w:val="22"/>
          <w:lang w:eastAsia="pl-PL"/>
        </w:rPr>
        <w:t xml:space="preserve"> </w:t>
      </w:r>
      <w:bookmarkEnd w:id="15"/>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6" w:name="_Hlk142257396"/>
      <w:r w:rsidR="005A56C6">
        <w:rPr>
          <w:rFonts w:ascii="Cambria" w:hAnsi="Cambria" w:cs="Arial"/>
          <w:sz w:val="22"/>
          <w:szCs w:val="22"/>
        </w:rPr>
        <w:t>jak również możliwości przedłużenia okresu realizacji zamówienia w drodze zmiany Umowy.</w:t>
      </w:r>
      <w:bookmarkEnd w:id="16"/>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w:t>
      </w:r>
      <w:r w:rsidR="0090714D" w:rsidRPr="0090714D">
        <w:rPr>
          <w:rFonts w:ascii="Cambria" w:hAnsi="Cambria"/>
          <w:color w:val="000000"/>
          <w:sz w:val="22"/>
          <w:szCs w:val="22"/>
          <w:lang w:eastAsia="pl-PL"/>
        </w:rPr>
        <w:lastRenderedPageBreak/>
        <w:t xml:space="preserve">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sidRPr="004B3338">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7"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7"/>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8"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8"/>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9"/>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20"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1" w:name="_Hlk15294375"/>
      <w:r w:rsidRPr="008B5960">
        <w:rPr>
          <w:rFonts w:ascii="Cambria" w:hAnsi="Cambria" w:cs="Arial"/>
          <w:sz w:val="22"/>
          <w:szCs w:val="22"/>
          <w:lang w:eastAsia="pl-PL"/>
        </w:rPr>
        <w:t>pozyskania drewna</w:t>
      </w:r>
      <w:bookmarkEnd w:id="21"/>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20"/>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lastRenderedPageBreak/>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2"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3" w:name="_Hlk142253415"/>
      <w:r w:rsidR="00337374" w:rsidRPr="00E73177">
        <w:rPr>
          <w:rFonts w:ascii="Cambria" w:hAnsi="Cambria" w:cs="Arial"/>
          <w:sz w:val="22"/>
          <w:szCs w:val="22"/>
          <w:lang w:eastAsia="pl-PL"/>
        </w:rPr>
        <w:t xml:space="preserve">, </w:t>
      </w:r>
      <w:bookmarkEnd w:id="23"/>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2"/>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4" w:name="_Hlk107733386"/>
      <w:bookmarkStart w:id="25"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4"/>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5"/>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sidRPr="00810074">
        <w:rPr>
          <w:rFonts w:ascii="Cambria" w:hAnsi="Cambria" w:cs="Arial"/>
          <w:b/>
          <w:sz w:val="22"/>
          <w:szCs w:val="22"/>
          <w:lang w:eastAsia="pl-PL"/>
        </w:rPr>
        <w:t xml:space="preserve">14 </w:t>
      </w:r>
      <w:r w:rsidRPr="00810074">
        <w:rPr>
          <w:rFonts w:ascii="Cambria" w:hAnsi="Cambria" w:cs="Arial"/>
          <w:b/>
          <w:sz w:val="22"/>
          <w:szCs w:val="22"/>
          <w:lang w:eastAsia="pl-PL"/>
        </w:rPr>
        <w:t>dni</w:t>
      </w:r>
      <w:r w:rsidRPr="004B3338">
        <w:rPr>
          <w:rFonts w:ascii="Cambria" w:hAnsi="Cambria" w:cs="Arial"/>
          <w:sz w:val="22"/>
          <w:szCs w:val="22"/>
          <w:lang w:eastAsia="pl-PL"/>
        </w:rPr>
        <w:t xml:space="preserve">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6"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bookmarkEnd w:id="26"/>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7"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7"/>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z późn.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8" w:name="_Toc68356757"/>
      <w:r w:rsidRPr="004B3338">
        <w:rPr>
          <w:rFonts w:ascii="Cambria" w:hAnsi="Cambria" w:cs="Arial"/>
          <w:b/>
          <w:bCs/>
          <w:kern w:val="32"/>
          <w:sz w:val="22"/>
          <w:szCs w:val="22"/>
          <w:lang w:eastAsia="pl-PL"/>
        </w:rPr>
        <w:br/>
        <w:t>Kary umowne</w:t>
      </w:r>
      <w:bookmarkEnd w:id="28"/>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9"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9"/>
      <w:r w:rsidRPr="004B3338">
        <w:rPr>
          <w:rFonts w:ascii="Cambria" w:hAnsi="Cambria" w:cs="Arial"/>
          <w:bCs/>
          <w:sz w:val="22"/>
          <w:szCs w:val="22"/>
          <w:lang w:eastAsia="pl-PL"/>
        </w:rPr>
        <w:t xml:space="preserve">- w wysokości 1 % wartości </w:t>
      </w:r>
      <w:bookmarkStart w:id="30"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30"/>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1"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lastRenderedPageBreak/>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1"/>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4B3338">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2"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3"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2"/>
    <w:bookmarkEnd w:id="33"/>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4" w:name="_Hlk81415788"/>
      <w:r w:rsidRPr="004B3338">
        <w:rPr>
          <w:rFonts w:ascii="Cambria" w:hAnsi="Cambria" w:cs="Arial"/>
          <w:sz w:val="22"/>
          <w:szCs w:val="22"/>
          <w:lang w:eastAsia="pl-PL"/>
        </w:rPr>
        <w:t xml:space="preserve">każdy przypadek braku środków ochrony indywidualnej </w:t>
      </w:r>
      <w:bookmarkEnd w:id="34"/>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5"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5"/>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4B3338">
        <w:rPr>
          <w:rFonts w:ascii="Cambria" w:hAnsi="Cambria" w:cs="Arial"/>
          <w:sz w:val="22"/>
          <w:szCs w:val="22"/>
          <w:lang w:eastAsia="pl-PL"/>
        </w:rPr>
        <w:lastRenderedPageBreak/>
        <w:t xml:space="preserve">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6" w:name="_Toc68356761"/>
      <w:r w:rsidRPr="004B3338">
        <w:rPr>
          <w:rFonts w:ascii="Cambria" w:hAnsi="Cambria" w:cs="Arial"/>
          <w:b/>
          <w:sz w:val="22"/>
          <w:szCs w:val="22"/>
          <w:lang w:eastAsia="pl-PL"/>
        </w:rPr>
        <w:br/>
        <w:t>Ubezpieczenia</w:t>
      </w:r>
      <w:bookmarkEnd w:id="36"/>
    </w:p>
    <w:p w14:paraId="557FC8CA" w14:textId="2F7F38C3"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810074">
        <w:rPr>
          <w:rFonts w:ascii="Cambria" w:hAnsi="Cambria" w:cs="Arial"/>
          <w:sz w:val="22"/>
          <w:szCs w:val="22"/>
          <w:lang w:eastAsia="pl-PL"/>
        </w:rPr>
        <w:t>zą niż 200 000</w:t>
      </w:r>
      <w:r w:rsidRPr="004B3338">
        <w:rPr>
          <w:rFonts w:ascii="Cambria" w:hAnsi="Cambria" w:cs="Arial"/>
          <w:sz w:val="22"/>
          <w:szCs w:val="22"/>
          <w:lang w:eastAsia="pl-PL"/>
        </w:rPr>
        <w:t xml:space="preserve">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lastRenderedPageBreak/>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sidRPr="004B3338">
        <w:rPr>
          <w:rFonts w:ascii="Cambria" w:hAnsi="Cambria" w:cs="Arial"/>
          <w:sz w:val="22"/>
          <w:szCs w:val="22"/>
          <w:lang w:eastAsia="pl-PL"/>
        </w:rPr>
        <w:lastRenderedPageBreak/>
        <w:t xml:space="preserve">złożonej przez siebie ofercie. </w:t>
      </w:r>
      <w:bookmarkStart w:id="37" w:name="_Hlk43745153"/>
      <w:r w:rsidRPr="004B3338">
        <w:rPr>
          <w:rFonts w:ascii="Cambria" w:hAnsi="Cambria" w:cs="Arial"/>
          <w:sz w:val="22"/>
          <w:szCs w:val="22"/>
          <w:lang w:eastAsia="pl-PL"/>
        </w:rPr>
        <w:t>Zmiana nie może pociągnąć za sobą zwiększenia wynagrodzenia należnego Wykonawcy</w:t>
      </w:r>
      <w:bookmarkEnd w:id="37"/>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8"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8"/>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9"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9"/>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0"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w:t>
      </w:r>
      <w:r w:rsidRPr="004B3338">
        <w:rPr>
          <w:rFonts w:ascii="Cambria" w:eastAsia="Calibri" w:hAnsi="Cambria" w:cs="Calibri Light"/>
          <w:sz w:val="22"/>
          <w:szCs w:val="22"/>
          <w:lang w:eastAsia="en-US"/>
        </w:rPr>
        <w:lastRenderedPageBreak/>
        <w:t xml:space="preserve">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40"/>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r w:rsidRPr="004B3338">
        <w:rPr>
          <w:rFonts w:ascii="Cambria" w:eastAsia="Calibri" w:hAnsi="Cambria" w:cs="Calibri Light"/>
          <w:sz w:val="22"/>
          <w:szCs w:val="22"/>
          <w:lang w:eastAsia="en-US"/>
        </w:rPr>
        <w:t>Cn = Cp +(Cp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+(Cp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Cn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Cp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1"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41"/>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lastRenderedPageBreak/>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t>
      </w:r>
      <w:r w:rsidRPr="004B3338">
        <w:rPr>
          <w:rFonts w:ascii="Cambria" w:hAnsi="Cambria" w:cs="Arial"/>
          <w:sz w:val="22"/>
          <w:szCs w:val="22"/>
          <w:lang w:eastAsia="en-US"/>
        </w:rPr>
        <w:lastRenderedPageBreak/>
        <w:t xml:space="preserve">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2"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2"/>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lastRenderedPageBreak/>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54CA857E" w:rsidR="0013110C" w:rsidRPr="00810074" w:rsidRDefault="0013110C" w:rsidP="0076589F">
      <w:pPr>
        <w:numPr>
          <w:ilvl w:val="1"/>
          <w:numId w:val="32"/>
        </w:numPr>
        <w:tabs>
          <w:tab w:val="left" w:pos="1134"/>
        </w:tabs>
        <w:suppressAutoHyphens w:val="0"/>
        <w:spacing w:before="120"/>
        <w:ind w:left="1134" w:hanging="1134"/>
        <w:jc w:val="both"/>
        <w:rPr>
          <w:rFonts w:ascii="Cambria" w:hAnsi="Cambria" w:cs="Arial"/>
          <w:bCs/>
          <w:sz w:val="22"/>
          <w:szCs w:val="22"/>
        </w:rPr>
      </w:pPr>
      <w:r w:rsidRPr="00810074">
        <w:rPr>
          <w:rFonts w:ascii="Cambria" w:hAnsi="Cambria" w:cs="Arial"/>
          <w:color w:val="000000"/>
          <w:sz w:val="22"/>
          <w:szCs w:val="22"/>
          <w:lang w:eastAsia="pl-PL"/>
        </w:rPr>
        <w:t xml:space="preserve">Załącznik nr 4 – Ramowy Harmonogram Realizacji Przedmiotu Umowy; </w:t>
      </w:r>
    </w:p>
    <w:p w14:paraId="78700AE3" w14:textId="0673A59A"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1DA4B7AD" w14:textId="0A8213AF"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3B39E92E" w14:textId="30BFE109"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4C28E684" w14:textId="6EB235DF" w:rsidR="00810074" w:rsidRPr="004B3338" w:rsidRDefault="00810074" w:rsidP="00810074">
      <w:pPr>
        <w:tabs>
          <w:tab w:val="left" w:pos="1134"/>
        </w:tabs>
        <w:suppressAutoHyphens w:val="0"/>
        <w:spacing w:before="120"/>
        <w:ind w:left="1134"/>
        <w:jc w:val="both"/>
        <w:rPr>
          <w:rFonts w:ascii="Cambria" w:hAnsi="Cambria" w:cs="Arial"/>
          <w:bCs/>
          <w:sz w:val="22"/>
          <w:szCs w:val="22"/>
        </w:rPr>
      </w:pPr>
      <w:r>
        <w:rPr>
          <w:rFonts w:ascii="Cambria" w:hAnsi="Cambria" w:cs="Arial"/>
          <w:color w:val="000000"/>
          <w:sz w:val="22"/>
          <w:szCs w:val="22"/>
          <w:lang w:eastAsia="pl-PL"/>
        </w:rPr>
        <w:t>ZAMAWIAJĄCY</w:t>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WYKONAWCA</w:t>
      </w:r>
    </w:p>
    <w:sectPr w:rsidR="00810074" w:rsidRPr="004B3338">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D9C42" w14:textId="77777777" w:rsidR="00DE27F0" w:rsidRDefault="00DE27F0">
      <w:r>
        <w:separator/>
      </w:r>
    </w:p>
  </w:endnote>
  <w:endnote w:type="continuationSeparator" w:id="0">
    <w:p w14:paraId="7C3BC5F4" w14:textId="77777777" w:rsidR="00DE27F0" w:rsidRDefault="00DE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5522E6D2"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E46606">
      <w:rPr>
        <w:rFonts w:ascii="Cambria" w:hAnsi="Cambria"/>
        <w:noProof/>
        <w:lang w:eastAsia="pl-PL"/>
      </w:rPr>
      <w:t>7</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9D1B6" w14:textId="77777777" w:rsidR="00DE27F0" w:rsidRDefault="00DE27F0">
      <w:r>
        <w:separator/>
      </w:r>
    </w:p>
  </w:footnote>
  <w:footnote w:type="continuationSeparator" w:id="0">
    <w:p w14:paraId="578AD410" w14:textId="77777777" w:rsidR="00DE27F0" w:rsidRDefault="00DE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074"/>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9BC"/>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7F0"/>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606"/>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08F7"/>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8E04B-A9AF-4AE8-99BF-DEBD7769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10461</Words>
  <Characters>62766</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5</cp:revision>
  <cp:lastPrinted>2023-08-04T10:26:00Z</cp:lastPrinted>
  <dcterms:created xsi:type="dcterms:W3CDTF">2023-11-17T08:39:00Z</dcterms:created>
  <dcterms:modified xsi:type="dcterms:W3CDTF">2024-01-14T15:36:00Z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