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550BAD24" w14:textId="77777777" w:rsidR="006F3DD0" w:rsidRDefault="00E11E5E" w:rsidP="00C11967">
      <w:pPr>
        <w:spacing w:after="0"/>
        <w:jc w:val="center"/>
        <w:rPr>
          <w:rFonts w:cs="Arial"/>
          <w:b/>
          <w:sz w:val="28"/>
          <w:szCs w:val="28"/>
        </w:rPr>
      </w:pPr>
      <w:r w:rsidRPr="009E11CC">
        <w:rPr>
          <w:rFonts w:cs="Arial"/>
          <w:b/>
          <w:sz w:val="28"/>
          <w:szCs w:val="28"/>
        </w:rPr>
        <w:t>Výzva na predloženie ponuky</w:t>
      </w:r>
      <w:r w:rsidR="006F3DD0">
        <w:rPr>
          <w:rFonts w:cs="Arial"/>
          <w:b/>
          <w:sz w:val="28"/>
          <w:szCs w:val="28"/>
        </w:rPr>
        <w:t>:</w:t>
      </w:r>
    </w:p>
    <w:p w14:paraId="08E09757" w14:textId="5D9A6F24" w:rsidR="00E11E5E" w:rsidRDefault="00E11E5E" w:rsidP="00C11967">
      <w:pPr>
        <w:spacing w:after="0"/>
        <w:jc w:val="center"/>
        <w:rPr>
          <w:rFonts w:cs="Arial"/>
          <w:b/>
          <w:sz w:val="28"/>
          <w:szCs w:val="28"/>
        </w:rPr>
      </w:pPr>
      <w:r w:rsidRPr="009E11CC">
        <w:rPr>
          <w:rFonts w:cs="Arial"/>
          <w:b/>
          <w:sz w:val="28"/>
          <w:szCs w:val="28"/>
        </w:rPr>
        <w:t xml:space="preserve"> </w:t>
      </w:r>
      <w:r w:rsidR="006F3DD0" w:rsidRPr="006F3DD0">
        <w:rPr>
          <w:rFonts w:cs="Arial"/>
          <w:b/>
          <w:sz w:val="28"/>
          <w:szCs w:val="28"/>
        </w:rPr>
        <w:t xml:space="preserve">Krmivo pre ryby na OZ Karpaty SCHR </w:t>
      </w:r>
      <w:proofErr w:type="spellStart"/>
      <w:r w:rsidR="006F3DD0" w:rsidRPr="006F3DD0">
        <w:rPr>
          <w:rFonts w:cs="Arial"/>
          <w:b/>
          <w:sz w:val="28"/>
          <w:szCs w:val="28"/>
        </w:rPr>
        <w:t>Parina</w:t>
      </w:r>
      <w:proofErr w:type="spellEnd"/>
      <w:r w:rsidR="006F3DD0" w:rsidRPr="006F3DD0">
        <w:rPr>
          <w:rFonts w:cs="Arial"/>
          <w:b/>
          <w:sz w:val="28"/>
          <w:szCs w:val="28"/>
        </w:rPr>
        <w:t xml:space="preserve">  výzva č. </w:t>
      </w:r>
      <w:r w:rsidR="00E91E94">
        <w:rPr>
          <w:rFonts w:cs="Arial"/>
          <w:b/>
          <w:sz w:val="28"/>
          <w:szCs w:val="28"/>
        </w:rPr>
        <w:t>2</w:t>
      </w:r>
      <w:r w:rsidR="006F3DD0" w:rsidRPr="006F3DD0">
        <w:rPr>
          <w:rFonts w:cs="Arial"/>
          <w:b/>
          <w:sz w:val="28"/>
          <w:szCs w:val="28"/>
        </w:rPr>
        <w:t>/2024</w:t>
      </w:r>
    </w:p>
    <w:p w14:paraId="11F84A74" w14:textId="77777777" w:rsidR="006F3DD0" w:rsidRPr="009E11CC" w:rsidRDefault="006F3DD0" w:rsidP="00C11967">
      <w:pPr>
        <w:spacing w:after="0"/>
        <w:jc w:val="center"/>
        <w:rPr>
          <w:rFonts w:cs="Arial"/>
          <w:b/>
          <w:sz w:val="28"/>
          <w:szCs w:val="28"/>
        </w:rPr>
      </w:pP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7F7917E0" w:rsidR="00EE407F" w:rsidRPr="009E11CC" w:rsidRDefault="00A062D0" w:rsidP="00FE4CBB">
            <w:pPr>
              <w:spacing w:after="0" w:line="360" w:lineRule="auto"/>
              <w:jc w:val="both"/>
              <w:rPr>
                <w:rFonts w:cs="Arial"/>
                <w:szCs w:val="20"/>
                <w:highlight w:val="yellow"/>
              </w:rPr>
            </w:pPr>
            <w:r w:rsidRPr="00A062D0">
              <w:rPr>
                <w:rFonts w:cs="Arial"/>
                <w:szCs w:val="20"/>
                <w:highlight w:val="yellow"/>
              </w:rPr>
              <w:t xml:space="preserve">Ing. </w:t>
            </w:r>
            <w:r w:rsidR="00FE4CBB">
              <w:rPr>
                <w:rFonts w:cs="Arial"/>
                <w:szCs w:val="20"/>
                <w:highlight w:val="yellow"/>
              </w:rPr>
              <w:t>Radomír Nečas</w:t>
            </w:r>
            <w:r w:rsidR="00EE407F" w:rsidRPr="00A062D0">
              <w:rPr>
                <w:rFonts w:cs="Arial"/>
                <w:szCs w:val="20"/>
                <w:highlight w:val="yellow"/>
              </w:rPr>
              <w:t xml:space="preserve"> </w:t>
            </w:r>
            <w:r w:rsidR="00FE4CBB">
              <w:rPr>
                <w:rFonts w:cs="Arial"/>
                <w:szCs w:val="20"/>
                <w:highlight w:val="yellow"/>
              </w:rPr>
              <w:t xml:space="preserve">–poverený </w:t>
            </w:r>
            <w:r w:rsidR="00EE407F" w:rsidRPr="00A062D0">
              <w:rPr>
                <w:rFonts w:cs="Arial"/>
                <w:szCs w:val="20"/>
                <w:highlight w:val="yellow"/>
              </w:rPr>
              <w:t xml:space="preserve">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2FDB377D" w:rsidR="00A54901" w:rsidRDefault="00CA0578" w:rsidP="004E52F1">
            <w:pPr>
              <w:spacing w:after="0" w:line="360" w:lineRule="auto"/>
              <w:jc w:val="both"/>
              <w:rPr>
                <w:rFonts w:cs="Arial"/>
                <w:szCs w:val="20"/>
              </w:rPr>
            </w:pPr>
            <w:hyperlink r:id="rId8" w:history="1">
              <w:r w:rsidR="00FE4CBB" w:rsidRPr="00DA33BC">
                <w:rPr>
                  <w:rStyle w:val="Hypertextovprepojenie"/>
                  <w:rFonts w:cs="Arial"/>
                  <w:szCs w:val="20"/>
                  <w:highlight w:val="yellow"/>
                </w:rPr>
                <w:t>https://josephine.proebiz.com/sk/tender/53167</w:t>
              </w:r>
              <w:r w:rsidR="00FE4CBB" w:rsidRPr="00DA33BC">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4A735360" w:rsidR="00A54901" w:rsidRPr="009E11CC" w:rsidRDefault="00FE4CBB" w:rsidP="00FE4CBB">
            <w:pPr>
              <w:spacing w:after="0" w:line="360" w:lineRule="auto"/>
              <w:jc w:val="both"/>
              <w:rPr>
                <w:rFonts w:cs="Arial"/>
                <w:szCs w:val="20"/>
              </w:rPr>
            </w:pPr>
            <w:r>
              <w:rPr>
                <w:rFonts w:cs="Arial"/>
                <w:szCs w:val="20"/>
                <w:highlight w:val="yellow"/>
              </w:rPr>
              <w:t>53167</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114E99CB" w:rsidR="00A54901" w:rsidRPr="009E11CC" w:rsidRDefault="00FE4CBB" w:rsidP="008E2AC3">
            <w:pPr>
              <w:spacing w:after="0" w:line="360" w:lineRule="auto"/>
              <w:rPr>
                <w:rFonts w:cs="Arial"/>
                <w:szCs w:val="20"/>
              </w:rPr>
            </w:pPr>
            <w:r>
              <w:t xml:space="preserve">Krmivo pre ryby na OZ Karpaty SCHR </w:t>
            </w:r>
            <w:proofErr w:type="spellStart"/>
            <w:r>
              <w:t>Parina</w:t>
            </w:r>
            <w:proofErr w:type="spellEnd"/>
            <w:r>
              <w:t xml:space="preserve"> </w:t>
            </w:r>
            <w:r w:rsidR="00E16263">
              <w:t xml:space="preserve"> výzva č. </w:t>
            </w:r>
            <w:r>
              <w:t>1/2024</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shd w:val="clear" w:color="auto" w:fill="auto"/>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12B3FA86" w:rsidR="00E11E5E" w:rsidRDefault="00761D19" w:rsidP="00C11967">
      <w:pPr>
        <w:spacing w:after="0"/>
        <w:jc w:val="both"/>
        <w:rPr>
          <w:rFonts w:cs="Arial"/>
          <w:szCs w:val="20"/>
        </w:rPr>
      </w:pPr>
      <w:r w:rsidRPr="00F72CDE">
        <w:rPr>
          <w:rFonts w:cs="Arial"/>
          <w:szCs w:val="20"/>
        </w:rPr>
        <w:t>DNS Krmivá na roky 2023-2027</w:t>
      </w:r>
      <w:r w:rsidR="00A54901" w:rsidRPr="00F72CDE">
        <w:rPr>
          <w:rFonts w:cs="Arial"/>
          <w:szCs w:val="20"/>
        </w:rPr>
        <w:t xml:space="preserve"> - </w:t>
      </w:r>
      <w:r w:rsidR="00A84C05" w:rsidRPr="00F72CDE">
        <w:rPr>
          <w:rFonts w:cs="Arial"/>
          <w:szCs w:val="20"/>
        </w:rPr>
        <w:t>výzva</w:t>
      </w:r>
      <w:r w:rsidR="00C85C16" w:rsidRPr="00F72CDE">
        <w:rPr>
          <w:rFonts w:cs="Arial"/>
          <w:szCs w:val="20"/>
        </w:rPr>
        <w:t xml:space="preserve"> </w:t>
      </w:r>
      <w:r w:rsidR="00A84C05" w:rsidRPr="00F72CDE">
        <w:rPr>
          <w:rFonts w:cs="Arial"/>
          <w:szCs w:val="20"/>
        </w:rPr>
        <w:t>č.</w:t>
      </w:r>
      <w:r w:rsidR="00535776">
        <w:rPr>
          <w:rFonts w:cs="Arial"/>
          <w:szCs w:val="20"/>
        </w:rPr>
        <w:t>1/2024</w:t>
      </w:r>
      <w:r w:rsidR="00A062D0" w:rsidRPr="00F72CDE">
        <w:rPr>
          <w:rFonts w:cs="Arial"/>
          <w:szCs w:val="20"/>
        </w:rPr>
        <w:t xml:space="preserve"> </w:t>
      </w:r>
      <w:r w:rsidR="003B0AD3" w:rsidRPr="00F72CDE">
        <w:rPr>
          <w:rFonts w:cs="Arial"/>
          <w:szCs w:val="20"/>
        </w:rPr>
        <w:t xml:space="preserve">OZ Karpaty  </w:t>
      </w:r>
      <w:r w:rsidR="00A062D0" w:rsidRPr="00F72CDE">
        <w:rPr>
          <w:rFonts w:cs="Arial"/>
          <w:szCs w:val="20"/>
        </w:rPr>
        <w:t xml:space="preserve">– </w:t>
      </w:r>
      <w:r w:rsidR="00767C6E" w:rsidRPr="00F72CDE">
        <w:rPr>
          <w:rFonts w:cs="Arial"/>
          <w:szCs w:val="20"/>
        </w:rPr>
        <w:t xml:space="preserve">krmivo pre </w:t>
      </w:r>
      <w:r w:rsidR="00535776">
        <w:rPr>
          <w:rFonts w:cs="Arial"/>
          <w:szCs w:val="20"/>
        </w:rPr>
        <w:t>ryby</w:t>
      </w:r>
    </w:p>
    <w:p w14:paraId="1D9E8F25" w14:textId="791E9C75" w:rsidR="00535776" w:rsidRPr="00F72CDE" w:rsidRDefault="00535776" w:rsidP="00C11967">
      <w:pPr>
        <w:spacing w:after="0"/>
        <w:jc w:val="both"/>
        <w:rPr>
          <w:rFonts w:cs="Arial"/>
          <w:szCs w:val="20"/>
        </w:rPr>
      </w:pPr>
      <w:r w:rsidRPr="00535776">
        <w:rPr>
          <w:rFonts w:cs="Arial"/>
          <w:szCs w:val="20"/>
        </w:rPr>
        <w:t>Kŕmne zmesi pre farmový chov pstruha</w:t>
      </w:r>
      <w:r>
        <w:rPr>
          <w:rFonts w:cs="Arial"/>
          <w:szCs w:val="20"/>
        </w:rPr>
        <w:t xml:space="preserve">. Bližšie v priloženej </w:t>
      </w:r>
      <w:proofErr w:type="spellStart"/>
      <w:r>
        <w:rPr>
          <w:rFonts w:cs="Arial"/>
          <w:szCs w:val="20"/>
        </w:rPr>
        <w:t>špeciikácii</w:t>
      </w:r>
      <w:proofErr w:type="spellEnd"/>
      <w:r w:rsidR="00E16263">
        <w:rPr>
          <w:rFonts w:cs="Arial"/>
          <w:szCs w:val="20"/>
        </w:rPr>
        <w:t xml:space="preserve">: </w:t>
      </w:r>
      <w:proofErr w:type="spellStart"/>
      <w:r w:rsidR="00E16263" w:rsidRPr="00E16263">
        <w:rPr>
          <w:rFonts w:cs="Arial"/>
          <w:szCs w:val="20"/>
        </w:rPr>
        <w:t>tab</w:t>
      </w:r>
      <w:proofErr w:type="spellEnd"/>
      <w:r w:rsidR="00E16263" w:rsidRPr="00E16263">
        <w:rPr>
          <w:rFonts w:cs="Arial"/>
          <w:szCs w:val="20"/>
        </w:rPr>
        <w:t xml:space="preserve">: Požadované parametre krmiva pre SCHR </w:t>
      </w:r>
      <w:proofErr w:type="spellStart"/>
      <w:r w:rsidR="00E16263" w:rsidRPr="00E16263">
        <w:rPr>
          <w:rFonts w:cs="Arial"/>
          <w:szCs w:val="20"/>
        </w:rPr>
        <w:t>Parina</w:t>
      </w:r>
      <w:proofErr w:type="spellEnd"/>
      <w:r w:rsidR="00E16263" w:rsidRPr="00E16263">
        <w:rPr>
          <w:rFonts w:cs="Arial"/>
          <w:szCs w:val="20"/>
        </w:rPr>
        <w:t xml:space="preserve"> – jednotkové ceny krmiva</w:t>
      </w:r>
      <w:r>
        <w:rPr>
          <w:rFonts w:cs="Arial"/>
          <w:szCs w:val="20"/>
        </w:rPr>
        <w:t>.</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50A86C88" w:rsidR="00E11E5E" w:rsidRPr="00F72CDE" w:rsidRDefault="00C35799" w:rsidP="002326C0">
      <w:pPr>
        <w:pStyle w:val="Odsekzoznamu"/>
        <w:numPr>
          <w:ilvl w:val="1"/>
          <w:numId w:val="21"/>
        </w:numPr>
        <w:spacing w:after="0"/>
        <w:jc w:val="both"/>
        <w:rPr>
          <w:rFonts w:cs="Arial"/>
          <w:sz w:val="20"/>
          <w:szCs w:val="20"/>
        </w:rPr>
      </w:pPr>
      <w:r w:rsidRPr="00F72CDE">
        <w:rPr>
          <w:rFonts w:cs="Arial"/>
          <w:sz w:val="20"/>
          <w:szCs w:val="20"/>
        </w:rPr>
        <w:t>S</w:t>
      </w:r>
      <w:r w:rsidR="00E11E5E" w:rsidRPr="00F72CDE">
        <w:rPr>
          <w:rFonts w:cs="Arial"/>
          <w:sz w:val="20"/>
          <w:szCs w:val="20"/>
        </w:rPr>
        <w:t xml:space="preserve">uma: </w:t>
      </w:r>
      <w:r w:rsidR="00535776">
        <w:rPr>
          <w:rFonts w:cs="Arial"/>
          <w:sz w:val="20"/>
          <w:szCs w:val="20"/>
        </w:rPr>
        <w:t>19650</w:t>
      </w:r>
      <w:r w:rsidR="00E11E5E" w:rsidRPr="00F72CDE">
        <w:rPr>
          <w:rFonts w:cs="Arial"/>
          <w:sz w:val="20"/>
          <w:szCs w:val="20"/>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1" w:name="_Toc384668550"/>
      <w:bookmarkStart w:id="2" w:name="_Toc397590240"/>
      <w:r w:rsidRPr="009E11CC">
        <w:rPr>
          <w:rFonts w:cs="Arial"/>
          <w:b/>
          <w:szCs w:val="20"/>
        </w:rPr>
        <w:t xml:space="preserve">Komplexnosť </w:t>
      </w:r>
      <w:bookmarkEnd w:id="1"/>
      <w:bookmarkEnd w:id="2"/>
      <w:r w:rsidRPr="009E11CC">
        <w:rPr>
          <w:rFonts w:cs="Arial"/>
          <w:b/>
          <w:szCs w:val="20"/>
        </w:rPr>
        <w:t>zákazky:</w:t>
      </w:r>
    </w:p>
    <w:p w14:paraId="4F9BDFE5" w14:textId="00EC3BC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 xml:space="preserve">Verejný obstarávateľ </w:t>
      </w:r>
      <w:r w:rsidR="00535776">
        <w:rPr>
          <w:rFonts w:cs="Arial"/>
          <w:sz w:val="20"/>
          <w:szCs w:val="20"/>
        </w:rPr>
        <w:t>ne</w:t>
      </w:r>
      <w:r w:rsidRPr="009E11CC">
        <w:rPr>
          <w:rFonts w:cs="Arial"/>
          <w:sz w:val="20"/>
          <w:szCs w:val="20"/>
        </w:rPr>
        <w:t xml:space="preserve">umožňuje rozdeliť predmet zákazky. Uchádzač </w:t>
      </w:r>
      <w:r w:rsidR="00535776">
        <w:rPr>
          <w:rFonts w:cs="Arial"/>
          <w:sz w:val="20"/>
          <w:szCs w:val="20"/>
        </w:rPr>
        <w:t xml:space="preserve">musí </w:t>
      </w:r>
      <w:r w:rsidRPr="009E11CC">
        <w:rPr>
          <w:rFonts w:cs="Arial"/>
          <w:sz w:val="20"/>
          <w:szCs w:val="20"/>
        </w:rPr>
        <w:t>predložiť ponuku na celý predmet zákazky</w:t>
      </w:r>
      <w:r w:rsidR="00535776">
        <w:rPr>
          <w:rFonts w:cs="Arial"/>
          <w:sz w:val="20"/>
          <w:szCs w:val="20"/>
        </w:rPr>
        <w:t>.</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w:t>
      </w:r>
      <w:r w:rsidRPr="000F1CF6">
        <w:rPr>
          <w:rFonts w:cs="Arial"/>
          <w:sz w:val="20"/>
          <w:szCs w:val="20"/>
        </w:rPr>
        <w:lastRenderedPageBreak/>
        <w:t>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032E9148" w:rsidR="009E11CC" w:rsidRDefault="00AB6525" w:rsidP="009E11CC">
      <w:pPr>
        <w:pStyle w:val="Odsekzoznamu"/>
        <w:spacing w:after="0"/>
        <w:ind w:left="360"/>
        <w:jc w:val="both"/>
        <w:rPr>
          <w:rFonts w:cs="Arial"/>
          <w:sz w:val="20"/>
          <w:szCs w:val="20"/>
        </w:rPr>
      </w:pPr>
      <w:r w:rsidRPr="00300ABC">
        <w:rPr>
          <w:rFonts w:cs="Arial"/>
          <w:sz w:val="20"/>
          <w:szCs w:val="20"/>
          <w:highlight w:val="yellow"/>
        </w:rPr>
        <w:t xml:space="preserve">Predmetom zákazky je </w:t>
      </w:r>
      <w:r w:rsidR="00535776">
        <w:rPr>
          <w:rFonts w:cs="Arial"/>
          <w:sz w:val="20"/>
          <w:szCs w:val="20"/>
        </w:rPr>
        <w:t>m</w:t>
      </w:r>
      <w:r w:rsidR="00535776" w:rsidRPr="00535776">
        <w:rPr>
          <w:rFonts w:cs="Arial"/>
          <w:sz w:val="20"/>
          <w:szCs w:val="20"/>
        </w:rPr>
        <w:t>iešanie a dodávka kŕmnych zmesí pre farmový chov pstruha</w:t>
      </w:r>
    </w:p>
    <w:p w14:paraId="225E54EA" w14:textId="1B52F743" w:rsidR="00535776" w:rsidRDefault="00535776" w:rsidP="009E11CC">
      <w:pPr>
        <w:pStyle w:val="Odsekzoznamu"/>
        <w:spacing w:after="0"/>
        <w:ind w:left="360"/>
        <w:jc w:val="both"/>
        <w:rPr>
          <w:rFonts w:cs="Arial"/>
          <w:sz w:val="20"/>
          <w:szCs w:val="20"/>
        </w:rPr>
      </w:pPr>
    </w:p>
    <w:tbl>
      <w:tblPr>
        <w:tblW w:w="0" w:type="auto"/>
        <w:tblInd w:w="-866" w:type="dxa"/>
        <w:tblCellMar>
          <w:left w:w="10" w:type="dxa"/>
          <w:right w:w="10" w:type="dxa"/>
        </w:tblCellMar>
        <w:tblLook w:val="0000" w:firstRow="0" w:lastRow="0" w:firstColumn="0" w:lastColumn="0" w:noHBand="0" w:noVBand="0"/>
      </w:tblPr>
      <w:tblGrid>
        <w:gridCol w:w="2301"/>
        <w:gridCol w:w="1677"/>
        <w:gridCol w:w="1677"/>
        <w:gridCol w:w="1677"/>
        <w:gridCol w:w="1481"/>
      </w:tblGrid>
      <w:tr w:rsidR="00535776" w:rsidRPr="00535776" w14:paraId="4E04324E" w14:textId="77777777" w:rsidTr="00535776">
        <w:tc>
          <w:tcPr>
            <w:tcW w:w="0" w:type="auto"/>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4DEDAD3"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Parametre krmív</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47DB8A7"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1,0 mm</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621BD00"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1,5 mm</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75C9D23"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2,0 mm</w:t>
            </w:r>
          </w:p>
        </w:tc>
        <w:tc>
          <w:tcPr>
            <w:tcW w:w="0" w:type="auto"/>
            <w:tcBorders>
              <w:top w:val="single" w:sz="12"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tcPr>
          <w:p w14:paraId="67053662"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6,0 mm</w:t>
            </w:r>
          </w:p>
        </w:tc>
      </w:tr>
      <w:tr w:rsidR="00535776" w:rsidRPr="00535776" w14:paraId="6ABC88C0" w14:textId="77777777" w:rsidTr="00535776">
        <w:trPr>
          <w:trHeight w:val="59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20AB8F9" w14:textId="77777777" w:rsidR="00535776" w:rsidRPr="00535776" w:rsidRDefault="00535776" w:rsidP="00535776">
            <w:pPr>
              <w:pStyle w:val="Odsekzoznamu"/>
              <w:ind w:left="360"/>
              <w:jc w:val="both"/>
              <w:rPr>
                <w:rFonts w:cs="Arial"/>
                <w:b/>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EBBE" w14:textId="77777777" w:rsidR="00535776" w:rsidRPr="00535776" w:rsidRDefault="00535776" w:rsidP="00535776">
            <w:pPr>
              <w:pStyle w:val="Odsekzoznamu"/>
              <w:ind w:left="360"/>
              <w:jc w:val="both"/>
              <w:rPr>
                <w:rFonts w:cs="Arial"/>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B635" w14:textId="77777777" w:rsidR="00535776" w:rsidRPr="00535776" w:rsidRDefault="00535776" w:rsidP="00535776">
            <w:pPr>
              <w:pStyle w:val="Odsekzoznamu"/>
              <w:ind w:left="360"/>
              <w:jc w:val="both"/>
              <w:rPr>
                <w:rFonts w:cs="Arial"/>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F574" w14:textId="77777777" w:rsidR="00535776" w:rsidRPr="00535776" w:rsidRDefault="00535776" w:rsidP="00535776">
            <w:pPr>
              <w:pStyle w:val="Odsekzoznamu"/>
              <w:spacing w:after="0"/>
              <w:ind w:left="360"/>
              <w:jc w:val="both"/>
              <w:rPr>
                <w:rFonts w:cs="Arial"/>
                <w:szCs w:val="20"/>
                <w:highlight w:val="yellow"/>
              </w:rPr>
            </w:pP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55A0E" w14:textId="77777777" w:rsidR="00535776" w:rsidRPr="00535776" w:rsidRDefault="00535776" w:rsidP="00535776">
            <w:pPr>
              <w:pStyle w:val="Odsekzoznamu"/>
              <w:ind w:left="360"/>
              <w:jc w:val="both"/>
              <w:rPr>
                <w:rFonts w:cs="Arial"/>
                <w:szCs w:val="20"/>
                <w:highlight w:val="yellow"/>
              </w:rPr>
            </w:pPr>
          </w:p>
        </w:tc>
      </w:tr>
      <w:tr w:rsidR="00535776" w:rsidRPr="00535776" w14:paraId="22E95930" w14:textId="77777777" w:rsidTr="00535776">
        <w:trPr>
          <w:trHeight w:val="59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DD71A65"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Proteín %</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C7D12"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55,0 – 61,0</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CFFC"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52,0 – 58,0</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FC72"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47,0 – 55,0</w:t>
            </w:r>
          </w:p>
        </w:tc>
        <w:tc>
          <w:tcPr>
            <w:tcW w:w="0" w:type="auto"/>
            <w:tcBorders>
              <w:top w:val="sing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026BAB"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38,0 – 45,0</w:t>
            </w:r>
          </w:p>
        </w:tc>
      </w:tr>
      <w:tr w:rsidR="00535776" w:rsidRPr="00535776" w14:paraId="4C37429F" w14:textId="77777777" w:rsidTr="00535776">
        <w:trPr>
          <w:trHeight w:val="611"/>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6D0F46A6"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Tuk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41B1"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17,0 – 19,0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1904"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19,0 – 22,0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6FB7"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19,0 – 24,0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1A15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27,0 – 34,0</w:t>
            </w:r>
          </w:p>
        </w:tc>
      </w:tr>
      <w:tr w:rsidR="00535776" w:rsidRPr="00535776" w14:paraId="37DBA61C" w14:textId="77777777" w:rsidTr="00535776">
        <w:trPr>
          <w:trHeight w:val="600"/>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F03BA8E"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Uhľohydráty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FE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8,0 – 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C7D33"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7,0 – 19,0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F4C7"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8,0 – 19,0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3A5BAB"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14,0 – 19,0</w:t>
            </w:r>
          </w:p>
        </w:tc>
      </w:tr>
      <w:tr w:rsidR="00535776" w:rsidRPr="00535776" w14:paraId="1DF68DA0" w14:textId="77777777" w:rsidTr="00535776">
        <w:trPr>
          <w:trHeight w:val="604"/>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08044BC"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Vláknina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99B7D"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0,3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F748"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0,3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6789"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0,3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7DDF90"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0,5 – 3,0</w:t>
            </w:r>
          </w:p>
        </w:tc>
      </w:tr>
      <w:tr w:rsidR="00535776" w:rsidRPr="00535776" w14:paraId="64E6DFB1" w14:textId="77777777" w:rsidTr="00535776">
        <w:trPr>
          <w:trHeight w:val="607"/>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6A405B3"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Popol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B5DF3"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9,0 – 13,0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F669"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8,0 – 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10C1"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7,0 – 12,0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E8AAA2"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4,0 – 8,0</w:t>
            </w:r>
          </w:p>
        </w:tc>
      </w:tr>
      <w:tr w:rsidR="00535776" w:rsidRPr="00535776" w14:paraId="3545F55A" w14:textId="77777777" w:rsidTr="00535776">
        <w:trPr>
          <w:trHeight w:val="61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08207726"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Fosfor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7AB38"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1,6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68F2"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1,4 - 2,0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6F172"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1,2 - 2,0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E95A9D"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0,5 – 2,0</w:t>
            </w:r>
          </w:p>
        </w:tc>
      </w:tr>
      <w:tr w:rsidR="00535776" w:rsidRPr="00535776" w14:paraId="2F712344" w14:textId="77777777" w:rsidTr="00535776">
        <w:trPr>
          <w:trHeight w:val="562"/>
        </w:trPr>
        <w:tc>
          <w:tcPr>
            <w:tcW w:w="0" w:type="auto"/>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7E26000"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HE (</w:t>
            </w:r>
            <w:proofErr w:type="spellStart"/>
            <w:r w:rsidRPr="00535776">
              <w:rPr>
                <w:rFonts w:cs="Arial"/>
                <w:b/>
                <w:szCs w:val="20"/>
                <w:highlight w:val="yellow"/>
              </w:rPr>
              <w:t>Mj</w:t>
            </w:r>
            <w:proofErr w:type="spellEnd"/>
            <w:r w:rsidRPr="00535776">
              <w:rPr>
                <w:rFonts w:cs="Arial"/>
                <w:b/>
                <w:szCs w:val="20"/>
                <w:highlight w:val="yellow"/>
              </w:rPr>
              <w:t>/kg)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C5D4"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21,0 – 23,0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2A1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21,0 – 24,0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6030"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21,0 – 23,5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F4F53D"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19,0 – 23,5</w:t>
            </w:r>
          </w:p>
        </w:tc>
      </w:tr>
      <w:tr w:rsidR="00535776" w:rsidRPr="00535776" w14:paraId="13AD7CEA" w14:textId="77777777" w:rsidTr="00535776">
        <w:trPr>
          <w:trHeight w:val="567"/>
        </w:trPr>
        <w:tc>
          <w:tcPr>
            <w:tcW w:w="0" w:type="auto"/>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262B628"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SE  MJ/kg)</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FF2D6D3"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18,0 – 22,0</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22842A1"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18,0 – 23,0</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0FC7F" w14:textId="77777777" w:rsidR="00535776" w:rsidRPr="00535776" w:rsidRDefault="00535776" w:rsidP="00535776">
            <w:pPr>
              <w:pStyle w:val="Odsekzoznamu"/>
              <w:spacing w:after="0"/>
              <w:ind w:left="360"/>
              <w:jc w:val="both"/>
              <w:rPr>
                <w:rFonts w:cs="Arial"/>
                <w:szCs w:val="20"/>
                <w:highlight w:val="yellow"/>
              </w:rPr>
            </w:pPr>
            <w:r w:rsidRPr="00535776">
              <w:rPr>
                <w:rFonts w:cs="Arial"/>
                <w:szCs w:val="20"/>
                <w:highlight w:val="yellow"/>
              </w:rPr>
              <w:t>18,0 – 22,0</w:t>
            </w:r>
          </w:p>
        </w:tc>
        <w:tc>
          <w:tcPr>
            <w:tcW w:w="0" w:type="auto"/>
            <w:tcBorders>
              <w:top w:val="single" w:sz="4" w:space="0" w:color="000000"/>
              <w:left w:val="single" w:sz="4" w:space="0" w:color="000000"/>
              <w:bottom w:val="single" w:sz="12" w:space="0" w:color="000000"/>
              <w:right w:val="single" w:sz="4" w:space="0" w:color="000000"/>
            </w:tcBorders>
            <w:shd w:val="clear" w:color="auto" w:fill="auto"/>
            <w:tcMar>
              <w:top w:w="0" w:type="dxa"/>
              <w:left w:w="10" w:type="dxa"/>
              <w:bottom w:w="0" w:type="dxa"/>
              <w:right w:w="10" w:type="dxa"/>
            </w:tcMar>
          </w:tcPr>
          <w:p w14:paraId="7E335E16" w14:textId="77777777" w:rsidR="00535776" w:rsidRPr="00535776" w:rsidRDefault="00535776" w:rsidP="00535776">
            <w:pPr>
              <w:pStyle w:val="Odsekzoznamu"/>
              <w:ind w:left="360"/>
              <w:jc w:val="both"/>
              <w:rPr>
                <w:rFonts w:cs="Arial"/>
                <w:szCs w:val="20"/>
                <w:highlight w:val="yellow"/>
              </w:rPr>
            </w:pPr>
            <w:r w:rsidRPr="00535776">
              <w:rPr>
                <w:rFonts w:cs="Arial"/>
                <w:szCs w:val="20"/>
                <w:highlight w:val="yellow"/>
              </w:rPr>
              <w:t>19,0 – 23,0</w:t>
            </w:r>
          </w:p>
        </w:tc>
      </w:tr>
      <w:tr w:rsidR="00535776" w:rsidRPr="00535776" w14:paraId="2120B950" w14:textId="77777777" w:rsidTr="00535776">
        <w:trPr>
          <w:trHeight w:val="434"/>
        </w:trPr>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19DC77F"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Množstvo v Kg</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CFB063E"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200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52B275A"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500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391A131"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800</w:t>
            </w:r>
          </w:p>
        </w:tc>
        <w:tc>
          <w:tcPr>
            <w:tcW w:w="0" w:type="auto"/>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44E1AFC4" w14:textId="77777777" w:rsidR="00535776" w:rsidRPr="00535776" w:rsidRDefault="00535776" w:rsidP="00535776">
            <w:pPr>
              <w:pStyle w:val="Odsekzoznamu"/>
              <w:ind w:left="360"/>
              <w:jc w:val="both"/>
              <w:rPr>
                <w:rFonts w:cs="Arial"/>
                <w:b/>
                <w:szCs w:val="20"/>
                <w:highlight w:val="yellow"/>
              </w:rPr>
            </w:pPr>
            <w:r w:rsidRPr="00535776">
              <w:rPr>
                <w:rFonts w:cs="Arial"/>
                <w:b/>
                <w:szCs w:val="20"/>
                <w:highlight w:val="yellow"/>
              </w:rPr>
              <w:t>8 000</w:t>
            </w:r>
          </w:p>
        </w:tc>
      </w:tr>
    </w:tbl>
    <w:p w14:paraId="58E486FA" w14:textId="77777777" w:rsidR="00535776" w:rsidRDefault="00535776" w:rsidP="009E11CC">
      <w:pPr>
        <w:pStyle w:val="Odsekzoznamu"/>
        <w:spacing w:after="0"/>
        <w:ind w:left="360"/>
        <w:jc w:val="both"/>
        <w:rPr>
          <w:rFonts w:cs="Arial"/>
          <w:sz w:val="20"/>
          <w:szCs w:val="20"/>
        </w:rPr>
      </w:pP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lastRenderedPageBreak/>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64DF236C" w:rsidR="007F1613" w:rsidRPr="00663A5C" w:rsidRDefault="00E11E5E" w:rsidP="00535776">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535776" w:rsidRPr="00535776">
        <w:rPr>
          <w:rFonts w:cs="Arial"/>
          <w:szCs w:val="20"/>
        </w:rPr>
        <w:t xml:space="preserve">Stredisko chovu rýb </w:t>
      </w:r>
      <w:proofErr w:type="spellStart"/>
      <w:r w:rsidR="00535776" w:rsidRPr="00535776">
        <w:rPr>
          <w:rFonts w:cs="Arial"/>
          <w:szCs w:val="20"/>
        </w:rPr>
        <w:t>Parina</w:t>
      </w:r>
      <w:proofErr w:type="spellEnd"/>
      <w:r w:rsidR="00535776" w:rsidRPr="00535776">
        <w:rPr>
          <w:rFonts w:cs="Arial"/>
          <w:szCs w:val="20"/>
        </w:rPr>
        <w:t xml:space="preserve"> , LS </w:t>
      </w:r>
      <w:proofErr w:type="spellStart"/>
      <w:r w:rsidR="00535776" w:rsidRPr="00535776">
        <w:rPr>
          <w:rFonts w:cs="Arial"/>
          <w:szCs w:val="20"/>
        </w:rPr>
        <w:t>Majdán</w:t>
      </w:r>
      <w:proofErr w:type="spellEnd"/>
      <w:r w:rsidR="00535776" w:rsidRPr="00535776">
        <w:rPr>
          <w:rFonts w:cs="Arial"/>
          <w:szCs w:val="20"/>
        </w:rPr>
        <w:t xml:space="preserve"> 919 03 Horné Orešany</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01F6145F"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535776">
        <w:rPr>
          <w:rFonts w:cs="Arial"/>
          <w:sz w:val="20"/>
          <w:szCs w:val="20"/>
          <w:highlight w:val="yellow"/>
        </w:rPr>
        <w:t>podľa požiadaviek strediska, najneskôr do 6 mesiacov</w:t>
      </w:r>
      <w:r w:rsidR="000B7CB3">
        <w:rPr>
          <w:rFonts w:cs="Arial"/>
          <w:sz w:val="20"/>
          <w:szCs w:val="20"/>
          <w:highlight w:val="yellow"/>
        </w:rPr>
        <w:t>.</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3" w:name="_Toc488059675"/>
      <w:r w:rsidRPr="009E11CC">
        <w:rPr>
          <w:rFonts w:cs="Arial"/>
          <w:b/>
          <w:szCs w:val="20"/>
        </w:rPr>
        <w:t>Jazyk ponuky</w:t>
      </w:r>
      <w:bookmarkEnd w:id="3"/>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7E2BC805"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E91E94">
        <w:rPr>
          <w:rFonts w:cs="Arial"/>
          <w:sz w:val="20"/>
          <w:szCs w:val="20"/>
          <w:highlight w:val="yellow"/>
        </w:rPr>
        <w:t>19</w:t>
      </w:r>
      <w:r w:rsidR="00663A5C">
        <w:rPr>
          <w:rFonts w:cs="Arial"/>
          <w:sz w:val="20"/>
          <w:szCs w:val="20"/>
          <w:highlight w:val="yellow"/>
        </w:rPr>
        <w:t>.</w:t>
      </w:r>
      <w:r w:rsidR="00535776">
        <w:rPr>
          <w:rFonts w:cs="Arial"/>
          <w:sz w:val="20"/>
          <w:szCs w:val="20"/>
          <w:highlight w:val="yellow"/>
        </w:rPr>
        <w:t>3</w:t>
      </w:r>
      <w:r w:rsidR="00663A5C">
        <w:rPr>
          <w:rFonts w:cs="Arial"/>
          <w:sz w:val="20"/>
          <w:szCs w:val="20"/>
          <w:highlight w:val="yellow"/>
        </w:rPr>
        <w:t>.202</w:t>
      </w:r>
      <w:r w:rsidR="00535776">
        <w:rPr>
          <w:rFonts w:cs="Arial"/>
          <w:sz w:val="20"/>
          <w:szCs w:val="20"/>
          <w:highlight w:val="yellow"/>
        </w:rPr>
        <w:t>4</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4" w:name="_Toc488059674"/>
      <w:r w:rsidRPr="009E11CC">
        <w:rPr>
          <w:rFonts w:cs="Arial"/>
          <w:b/>
          <w:szCs w:val="20"/>
        </w:rPr>
        <w:t>Podmienky predloženia ponuky</w:t>
      </w:r>
      <w:bookmarkEnd w:id="4"/>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lastRenderedPageBreak/>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5" w:name="_Toc488059676"/>
      <w:r w:rsidRPr="009E11CC">
        <w:rPr>
          <w:rFonts w:cs="Arial"/>
          <w:b/>
          <w:szCs w:val="20"/>
        </w:rPr>
        <w:t>Predkladanie a obsah ponuky</w:t>
      </w:r>
      <w:bookmarkEnd w:id="5"/>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3D9EC995" w:rsidR="009E11CC" w:rsidRPr="00FC21A5" w:rsidRDefault="00FC21A5" w:rsidP="00FC21A5">
      <w:pPr>
        <w:pStyle w:val="Bezriadkovania"/>
        <w:numPr>
          <w:ilvl w:val="0"/>
          <w:numId w:val="66"/>
        </w:numPr>
        <w:jc w:val="both"/>
        <w:rPr>
          <w:rFonts w:ascii="Arial" w:hAnsi="Arial" w:cs="Arial"/>
          <w:i/>
          <w:sz w:val="20"/>
          <w:highlight w:val="yellow"/>
          <w:lang w:val="sk-SK"/>
        </w:rPr>
      </w:pPr>
      <w:r w:rsidRPr="00FC21A5">
        <w:rPr>
          <w:rFonts w:ascii="Arial" w:hAnsi="Arial" w:cs="Arial"/>
          <w:i/>
          <w:sz w:val="20"/>
          <w:highlight w:val="yellow"/>
          <w:lang w:val="sk-SK"/>
        </w:rPr>
        <w:t xml:space="preserve">Vyplnená </w:t>
      </w:r>
      <w:proofErr w:type="spellStart"/>
      <w:r w:rsidRPr="00FC21A5">
        <w:rPr>
          <w:rFonts w:ascii="Arial" w:hAnsi="Arial" w:cs="Arial"/>
          <w:i/>
          <w:sz w:val="20"/>
          <w:highlight w:val="yellow"/>
          <w:lang w:val="sk-SK"/>
        </w:rPr>
        <w:t>tab</w:t>
      </w:r>
      <w:proofErr w:type="spellEnd"/>
      <w:r w:rsidRPr="00FC21A5">
        <w:rPr>
          <w:rFonts w:ascii="Arial" w:hAnsi="Arial" w:cs="Arial"/>
          <w:i/>
          <w:sz w:val="20"/>
          <w:highlight w:val="yellow"/>
          <w:lang w:val="sk-SK"/>
        </w:rPr>
        <w:t>:</w:t>
      </w:r>
      <w:r w:rsidRPr="00FC21A5">
        <w:rPr>
          <w:highlight w:val="yellow"/>
        </w:rPr>
        <w:t xml:space="preserve"> </w:t>
      </w:r>
      <w:r w:rsidRPr="00FC21A5">
        <w:rPr>
          <w:rFonts w:ascii="Arial" w:hAnsi="Arial" w:cs="Arial"/>
          <w:i/>
          <w:sz w:val="20"/>
          <w:highlight w:val="yellow"/>
          <w:lang w:val="sk-SK"/>
        </w:rPr>
        <w:t xml:space="preserve">Požadované parametre krmiva pre SCHR </w:t>
      </w:r>
      <w:proofErr w:type="spellStart"/>
      <w:r w:rsidRPr="00FC21A5">
        <w:rPr>
          <w:rFonts w:ascii="Arial" w:hAnsi="Arial" w:cs="Arial"/>
          <w:i/>
          <w:sz w:val="20"/>
          <w:highlight w:val="yellow"/>
          <w:lang w:val="sk-SK"/>
        </w:rPr>
        <w:t>Parina</w:t>
      </w:r>
      <w:proofErr w:type="spellEnd"/>
      <w:r w:rsidRPr="00FC21A5">
        <w:rPr>
          <w:rFonts w:ascii="Arial" w:hAnsi="Arial" w:cs="Arial"/>
          <w:i/>
          <w:sz w:val="20"/>
          <w:highlight w:val="yellow"/>
          <w:lang w:val="sk-SK"/>
        </w:rPr>
        <w:t xml:space="preserve"> – jednotkové ceny krmiva</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6" w:name="_Toc488059680"/>
      <w:r w:rsidRPr="009E11CC">
        <w:rPr>
          <w:rFonts w:cs="Arial"/>
          <w:b/>
          <w:szCs w:val="20"/>
        </w:rPr>
        <w:t>Doplnenie, zmena a odvolanie ponuky</w:t>
      </w:r>
      <w:bookmarkEnd w:id="6"/>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lastRenderedPageBreak/>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Pravidlá pre doručovanie - zásielka sa považuje za doručenú záujemcovi/uchádzačovi ak jej adresát bude mať objektívnu možnosť oboznámiť sa s jej obsahom, tzn. akonáhle sa dostane </w:t>
      </w:r>
      <w:r w:rsidRPr="009E11CC">
        <w:rPr>
          <w:rFonts w:cs="Arial"/>
          <w:sz w:val="20"/>
          <w:szCs w:val="20"/>
        </w:rPr>
        <w:lastRenderedPageBreak/>
        <w:t>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7" w:name="_Toc488059681"/>
      <w:r w:rsidRPr="009E11CC">
        <w:rPr>
          <w:rFonts w:cs="Arial"/>
          <w:b/>
          <w:szCs w:val="20"/>
        </w:rPr>
        <w:t>Náklady na ponuku</w:t>
      </w:r>
      <w:bookmarkEnd w:id="7"/>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8"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lastRenderedPageBreak/>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8"/>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9"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0" w:name="_Toc488059688"/>
      <w:r w:rsidRPr="009E11CC">
        <w:rPr>
          <w:rFonts w:cs="Arial"/>
          <w:b/>
          <w:szCs w:val="20"/>
        </w:rPr>
        <w:t>Vyhodnotenie ponúk</w:t>
      </w:r>
      <w:bookmarkEnd w:id="10"/>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1" w:name="_Toc488059690"/>
      <w:bookmarkEnd w:id="9"/>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1"/>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DCDF942" w:rsidR="00DD16E7" w:rsidRPr="009E11CC" w:rsidRDefault="00E16263" w:rsidP="00E16263">
      <w:pPr>
        <w:spacing w:after="0"/>
        <w:ind w:left="360"/>
        <w:jc w:val="both"/>
        <w:rPr>
          <w:rFonts w:cs="Arial"/>
          <w:szCs w:val="20"/>
        </w:rPr>
      </w:pPr>
      <w:r>
        <w:rPr>
          <w:rFonts w:cs="Arial"/>
          <w:szCs w:val="20"/>
        </w:rPr>
        <w:t>3)</w:t>
      </w:r>
      <w:r>
        <w:rPr>
          <w:rFonts w:cs="Arial"/>
          <w:szCs w:val="20"/>
        </w:rPr>
        <w:tab/>
      </w:r>
      <w:proofErr w:type="spellStart"/>
      <w:r w:rsidRPr="00E16263">
        <w:rPr>
          <w:rFonts w:cs="Arial"/>
          <w:szCs w:val="20"/>
        </w:rPr>
        <w:t>tab</w:t>
      </w:r>
      <w:proofErr w:type="spellEnd"/>
      <w:r w:rsidRPr="00E16263">
        <w:rPr>
          <w:rFonts w:cs="Arial"/>
          <w:szCs w:val="20"/>
        </w:rPr>
        <w:t xml:space="preserve">: Požadované parametre krmiva pre SCHR </w:t>
      </w:r>
      <w:proofErr w:type="spellStart"/>
      <w:r w:rsidRPr="00E16263">
        <w:rPr>
          <w:rFonts w:cs="Arial"/>
          <w:szCs w:val="20"/>
        </w:rPr>
        <w:t>Parina</w:t>
      </w:r>
      <w:proofErr w:type="spellEnd"/>
      <w:r w:rsidRPr="00E16263">
        <w:rPr>
          <w:rFonts w:cs="Arial"/>
          <w:szCs w:val="20"/>
        </w:rPr>
        <w:t xml:space="preserve"> – jednotkové ceny krmiva</w:t>
      </w: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1B0F7A6E" w14:textId="69BE8628" w:rsidR="009C77FE" w:rsidRPr="009E11CC" w:rsidRDefault="009C77FE" w:rsidP="00E16263">
      <w:pPr>
        <w:spacing w:after="0"/>
        <w:jc w:val="both"/>
        <w:rPr>
          <w:rFonts w:cs="Arial"/>
          <w:szCs w:val="20"/>
        </w:rPr>
      </w:pPr>
      <w:r w:rsidRPr="009C77FE">
        <w:rPr>
          <w:rFonts w:cs="Arial"/>
          <w:b/>
          <w:szCs w:val="20"/>
        </w:rPr>
        <w:t xml:space="preserve">Predmet zákazky: </w:t>
      </w:r>
      <w:r w:rsidRPr="009C77FE">
        <w:rPr>
          <w:rFonts w:cs="Arial"/>
          <w:szCs w:val="20"/>
        </w:rPr>
        <w:t xml:space="preserve">DNS Krmivá na roky 2023-2027 - </w:t>
      </w:r>
      <w:r w:rsidR="00E16263">
        <w:t xml:space="preserve">Krmivo pre ryby na OZ Karpaty SCHR </w:t>
      </w:r>
      <w:proofErr w:type="spellStart"/>
      <w:r w:rsidR="00E16263">
        <w:t>Parina</w:t>
      </w:r>
      <w:proofErr w:type="spellEnd"/>
      <w:r w:rsidR="00E16263">
        <w:t xml:space="preserve">  výzva č. </w:t>
      </w:r>
      <w:r w:rsidR="00E91E94">
        <w:t>2</w:t>
      </w:r>
      <w:bookmarkStart w:id="12" w:name="_GoBack"/>
      <w:bookmarkEnd w:id="12"/>
      <w:r w:rsidR="00E16263">
        <w:t>/2024</w:t>
      </w: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shd w:val="clear" w:color="auto" w:fill="auto"/>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shd w:val="clear" w:color="auto" w:fill="auto"/>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shd w:val="clear" w:color="auto" w:fill="auto"/>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shd w:val="clear" w:color="auto" w:fill="auto"/>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shd w:val="clear" w:color="auto" w:fill="auto"/>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shd w:val="clear" w:color="auto" w:fill="auto"/>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shd w:val="clear" w:color="auto" w:fill="auto"/>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shd w:val="clear" w:color="auto" w:fill="auto"/>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shd w:val="clear" w:color="auto" w:fill="auto"/>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shd w:val="clear" w:color="auto" w:fill="auto"/>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shd w:val="clear" w:color="auto" w:fill="auto"/>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shd w:val="clear" w:color="auto" w:fill="auto"/>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shd w:val="clear" w:color="auto" w:fill="auto"/>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shd w:val="clear" w:color="auto" w:fill="auto"/>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shd w:val="clear" w:color="auto" w:fill="auto"/>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1625F33E" w14:textId="12EFAF63" w:rsidR="009C77FE" w:rsidRDefault="00E16263" w:rsidP="009C77FE">
      <w:pPr>
        <w:spacing w:after="0"/>
        <w:ind w:left="360"/>
        <w:jc w:val="both"/>
        <w:rPr>
          <w:rFonts w:cs="Arial"/>
          <w:szCs w:val="20"/>
        </w:rPr>
      </w:pPr>
      <w:r w:rsidRPr="00E16263">
        <w:rPr>
          <w:rFonts w:cs="Arial"/>
          <w:szCs w:val="20"/>
          <w:highlight w:val="yellow"/>
        </w:rPr>
        <w:t xml:space="preserve">Krmivo pre ryby na OZ Karpaty SCHR </w:t>
      </w:r>
      <w:proofErr w:type="spellStart"/>
      <w:r w:rsidRPr="00E16263">
        <w:rPr>
          <w:rFonts w:cs="Arial"/>
          <w:szCs w:val="20"/>
          <w:highlight w:val="yellow"/>
        </w:rPr>
        <w:t>Parina</w:t>
      </w:r>
      <w:proofErr w:type="spellEnd"/>
      <w:r w:rsidRPr="00E16263">
        <w:rPr>
          <w:rFonts w:cs="Arial"/>
          <w:szCs w:val="20"/>
          <w:highlight w:val="yellow"/>
        </w:rPr>
        <w:t xml:space="preserve">  výzva č. </w:t>
      </w:r>
      <w:r w:rsidR="00E91E94">
        <w:rPr>
          <w:rFonts w:cs="Arial"/>
          <w:szCs w:val="20"/>
          <w:highlight w:val="yellow"/>
        </w:rPr>
        <w:t>2</w:t>
      </w:r>
      <w:r w:rsidRPr="00E16263">
        <w:rPr>
          <w:rFonts w:cs="Arial"/>
          <w:szCs w:val="20"/>
          <w:highlight w:val="yellow"/>
        </w:rPr>
        <w:t>/2024</w:t>
      </w:r>
    </w:p>
    <w:p w14:paraId="0E5C793D" w14:textId="77777777" w:rsidR="00E16263" w:rsidRPr="009E11CC" w:rsidRDefault="00E16263" w:rsidP="009C77FE">
      <w:pPr>
        <w:spacing w:after="0"/>
        <w:ind w:left="360"/>
        <w:jc w:val="both"/>
        <w:rPr>
          <w:rFonts w:cs="Arial"/>
          <w:szCs w:val="20"/>
        </w:rPr>
      </w:pPr>
    </w:p>
    <w:p w14:paraId="48F144D9" w14:textId="77777777" w:rsidR="009C77FE" w:rsidRPr="009E11CC" w:rsidRDefault="009C77FE" w:rsidP="009C77FE">
      <w:pPr>
        <w:numPr>
          <w:ilvl w:val="0"/>
          <w:numId w:val="14"/>
        </w:numPr>
        <w:spacing w:after="0"/>
        <w:jc w:val="both"/>
        <w:rPr>
          <w:rFonts w:cs="Arial"/>
          <w:szCs w:val="20"/>
        </w:rPr>
      </w:pP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74ABA0BB"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6AEB22EE"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9A7E617"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1932F446"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2D1D4D4"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6DEBA15"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959524"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A8753EE"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7EABF79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7422CE0"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0C092D3"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6CD6F76"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239CE4C" w14:textId="77777777" w:rsidR="009C77FE" w:rsidRPr="009E11CC" w:rsidRDefault="009C77FE" w:rsidP="00B178F4">
            <w:pPr>
              <w:spacing w:after="0" w:line="480" w:lineRule="auto"/>
              <w:jc w:val="both"/>
              <w:rPr>
                <w:rFonts w:cs="Arial"/>
                <w:szCs w:val="20"/>
              </w:rPr>
            </w:pPr>
          </w:p>
        </w:tc>
      </w:tr>
    </w:tbl>
    <w:p w14:paraId="2645A490"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8C6F0EB" w14:textId="77777777" w:rsidR="009C77FE" w:rsidRPr="009E11CC" w:rsidRDefault="009C77FE" w:rsidP="009C77FE">
      <w:pPr>
        <w:spacing w:after="0"/>
        <w:jc w:val="both"/>
        <w:rPr>
          <w:rFonts w:cs="Arial"/>
          <w:sz w:val="18"/>
          <w:szCs w:val="18"/>
        </w:rPr>
      </w:pPr>
    </w:p>
    <w:p w14:paraId="63154195" w14:textId="77777777" w:rsidR="009C77FE" w:rsidRDefault="009C77FE" w:rsidP="009C77FE">
      <w:pPr>
        <w:shd w:val="clear" w:color="auto" w:fill="FFFFFF"/>
        <w:spacing w:after="0"/>
        <w:rPr>
          <w:rFonts w:cs="Arial"/>
          <w:color w:val="222222"/>
          <w:szCs w:val="20"/>
        </w:rPr>
      </w:pPr>
    </w:p>
    <w:p w14:paraId="4181E5A5" w14:textId="77777777" w:rsidR="009C77FE" w:rsidRPr="009E11CC" w:rsidRDefault="009C77FE" w:rsidP="009C77FE">
      <w:pPr>
        <w:spacing w:after="0"/>
        <w:jc w:val="both"/>
        <w:rPr>
          <w:rFonts w:cs="Arial"/>
          <w:szCs w:val="20"/>
        </w:rPr>
      </w:pPr>
    </w:p>
    <w:p w14:paraId="57215D72" w14:textId="77777777" w:rsidR="009C77FE" w:rsidRDefault="009C77FE" w:rsidP="009C77FE">
      <w:pPr>
        <w:shd w:val="clear" w:color="auto" w:fill="FFFFFF"/>
        <w:spacing w:after="0"/>
        <w:rPr>
          <w:rFonts w:cs="Arial"/>
          <w:color w:val="222222"/>
          <w:szCs w:val="20"/>
        </w:rPr>
      </w:pPr>
    </w:p>
    <w:p w14:paraId="360AB8A1" w14:textId="77777777" w:rsidR="009C77FE" w:rsidRDefault="009C77FE" w:rsidP="009C77FE">
      <w:pPr>
        <w:shd w:val="clear" w:color="auto" w:fill="FFFFFF"/>
        <w:spacing w:after="0"/>
        <w:rPr>
          <w:rFonts w:cs="Arial"/>
          <w:color w:val="222222"/>
          <w:szCs w:val="20"/>
        </w:rPr>
      </w:pP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585992C7" w14:textId="77777777" w:rsidR="009C77FE" w:rsidRDefault="009C77FE" w:rsidP="00604AF6">
      <w:pPr>
        <w:spacing w:after="0"/>
        <w:jc w:val="right"/>
        <w:rPr>
          <w:rFonts w:cs="Arial"/>
          <w:b/>
          <w:szCs w:val="20"/>
        </w:rPr>
      </w:pPr>
    </w:p>
    <w:p w14:paraId="229FA4D5" w14:textId="77777777" w:rsidR="009C77FE" w:rsidRDefault="009C77FE" w:rsidP="00604AF6">
      <w:pPr>
        <w:spacing w:after="0"/>
        <w:jc w:val="right"/>
        <w:rPr>
          <w:rFonts w:cs="Arial"/>
          <w:b/>
          <w:szCs w:val="20"/>
        </w:rPr>
      </w:pPr>
    </w:p>
    <w:p w14:paraId="2E96304F" w14:textId="77777777" w:rsidR="009C77FE" w:rsidRDefault="009C77FE" w:rsidP="00604AF6">
      <w:pPr>
        <w:spacing w:after="0"/>
        <w:jc w:val="right"/>
        <w:rPr>
          <w:rFonts w:cs="Arial"/>
          <w:b/>
          <w:szCs w:val="20"/>
        </w:rPr>
      </w:pPr>
    </w:p>
    <w:p w14:paraId="6A41C500" w14:textId="77777777" w:rsidR="009C77FE" w:rsidRDefault="009C77FE" w:rsidP="00604AF6">
      <w:pPr>
        <w:spacing w:after="0"/>
        <w:jc w:val="right"/>
        <w:rPr>
          <w:rFonts w:cs="Arial"/>
          <w:b/>
          <w:szCs w:val="20"/>
        </w:rPr>
      </w:pPr>
    </w:p>
    <w:p w14:paraId="53ADE179"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4DE6575C" w14:textId="2EF2AFC4" w:rsidR="00E16263" w:rsidRPr="00E16263" w:rsidRDefault="00E16263" w:rsidP="00E16263">
      <w:pPr>
        <w:spacing w:after="0"/>
        <w:rPr>
          <w:rFonts w:cs="Arial"/>
          <w:b/>
          <w:szCs w:val="20"/>
        </w:rPr>
      </w:pPr>
      <w:r>
        <w:rPr>
          <w:rFonts w:cs="Arial"/>
          <w:szCs w:val="20"/>
        </w:rPr>
        <w:tab/>
      </w:r>
      <w:r>
        <w:rPr>
          <w:rFonts w:cs="Arial"/>
          <w:szCs w:val="20"/>
        </w:rPr>
        <w:tab/>
      </w:r>
      <w:r>
        <w:rPr>
          <w:rFonts w:cs="Arial"/>
          <w:szCs w:val="20"/>
        </w:rPr>
        <w:tab/>
      </w:r>
      <w:r>
        <w:rPr>
          <w:rFonts w:cs="Arial"/>
          <w:szCs w:val="20"/>
        </w:rPr>
        <w:tab/>
      </w:r>
      <w:r w:rsidRPr="00E16263">
        <w:rPr>
          <w:rFonts w:cs="Arial"/>
          <w:b/>
          <w:szCs w:val="20"/>
        </w:rPr>
        <w:t xml:space="preserve">Príloha č. </w:t>
      </w:r>
      <w:r>
        <w:rPr>
          <w:rFonts w:cs="Arial"/>
          <w:b/>
          <w:szCs w:val="20"/>
        </w:rPr>
        <w:t>3</w:t>
      </w:r>
      <w:r w:rsidRPr="00E16263">
        <w:rPr>
          <w:rFonts w:cs="Arial"/>
          <w:b/>
          <w:szCs w:val="20"/>
        </w:rPr>
        <w:t xml:space="preserve"> Výzvy: </w:t>
      </w:r>
      <w:proofErr w:type="spellStart"/>
      <w:r w:rsidRPr="00E16263">
        <w:rPr>
          <w:rFonts w:cs="Arial"/>
          <w:b/>
          <w:szCs w:val="20"/>
        </w:rPr>
        <w:t>tab</w:t>
      </w:r>
      <w:proofErr w:type="spellEnd"/>
      <w:r w:rsidRPr="00E16263">
        <w:rPr>
          <w:rFonts w:cs="Arial"/>
          <w:b/>
          <w:szCs w:val="20"/>
        </w:rPr>
        <w:t xml:space="preserve">: Požadované parametre krmiva pre SCHR </w:t>
      </w:r>
      <w:proofErr w:type="spellStart"/>
      <w:r w:rsidRPr="00E16263">
        <w:rPr>
          <w:rFonts w:cs="Arial"/>
          <w:b/>
          <w:szCs w:val="20"/>
        </w:rPr>
        <w:t>Parina</w:t>
      </w:r>
      <w:proofErr w:type="spellEnd"/>
      <w:r w:rsidRPr="00E16263">
        <w:rPr>
          <w:rFonts w:cs="Arial"/>
          <w:b/>
          <w:szCs w:val="20"/>
        </w:rPr>
        <w:t xml:space="preserve"> – jednotkové ceny krmiva</w:t>
      </w:r>
    </w:p>
    <w:p w14:paraId="70581D55" w14:textId="245FD290" w:rsidR="009B07D2" w:rsidRDefault="009B07D2">
      <w:pPr>
        <w:spacing w:after="0"/>
        <w:rPr>
          <w:rFonts w:cs="Arial"/>
          <w:szCs w:val="20"/>
        </w:rPr>
      </w:pPr>
    </w:p>
    <w:p w14:paraId="6FA34697" w14:textId="33ED3210" w:rsidR="009B07D2" w:rsidRDefault="00E16263">
      <w:pPr>
        <w:spacing w:after="0"/>
        <w:rPr>
          <w:rFonts w:cs="Arial"/>
          <w:szCs w:val="20"/>
        </w:rPr>
      </w:pPr>
      <w:r w:rsidRPr="00E16263">
        <w:rPr>
          <w:rFonts w:cs="Arial"/>
          <w:szCs w:val="20"/>
        </w:rPr>
        <w:t>Tvorí samostatnú prílohu vo formáte *.</w:t>
      </w:r>
      <w:proofErr w:type="spellStart"/>
      <w:r w:rsidRPr="00E16263">
        <w:rPr>
          <w:rFonts w:cs="Arial"/>
          <w:szCs w:val="20"/>
        </w:rPr>
        <w:t>docx</w:t>
      </w:r>
      <w:proofErr w:type="spellEnd"/>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AD184" w14:textId="77777777" w:rsidR="00CA0578" w:rsidRDefault="00CA0578">
      <w:r>
        <w:separator/>
      </w:r>
    </w:p>
  </w:endnote>
  <w:endnote w:type="continuationSeparator" w:id="0">
    <w:p w14:paraId="300050D5" w14:textId="77777777" w:rsidR="00CA0578" w:rsidRDefault="00CA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51E42B9"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91E94">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91E94">
                    <w:rPr>
                      <w:bCs/>
                      <w:noProof/>
                      <w:sz w:val="18"/>
                      <w:szCs w:val="18"/>
                    </w:rPr>
                    <w:t>12</w:t>
                  </w:r>
                  <w:r w:rsidRPr="007C3D49">
                    <w:rPr>
                      <w:bCs/>
                      <w:sz w:val="18"/>
                      <w:szCs w:val="18"/>
                    </w:rPr>
                    <w:fldChar w:fldCharType="end"/>
                  </w:r>
                </w:p>
              </w:tc>
            </w:tr>
          </w:tbl>
          <w:p w14:paraId="3C8412FC" w14:textId="522F1C6A" w:rsidR="005308F7" w:rsidRDefault="00CA057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809D" w14:textId="77777777" w:rsidR="00CA0578" w:rsidRDefault="00CA0578">
      <w:r>
        <w:separator/>
      </w:r>
    </w:p>
  </w:footnote>
  <w:footnote w:type="continuationSeparator" w:id="0">
    <w:p w14:paraId="3CB35557" w14:textId="77777777" w:rsidR="00CA0578" w:rsidRDefault="00CA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776"/>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DD0"/>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0578"/>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49C7"/>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94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63"/>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1E94"/>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1A5"/>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4CBB"/>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316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BF79-5F4D-4433-8B8B-0063F237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4275</Words>
  <Characters>24371</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28589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2023-11-01T19:33:00Z</cp:lastPrinted>
  <dcterms:created xsi:type="dcterms:W3CDTF">2023-09-18T07:47:00Z</dcterms:created>
  <dcterms:modified xsi:type="dcterms:W3CDTF">2024-03-07T11:46:00Z</dcterms:modified>
  <cp:category>EIZ</cp:category>
</cp:coreProperties>
</file>