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F522A9">
        <w:rPr>
          <w:rFonts w:ascii="Times New Roman" w:hAnsi="Times New Roman" w:cs="Times New Roman"/>
          <w:b/>
          <w:color w:val="000000"/>
          <w:sz w:val="23"/>
          <w:szCs w:val="23"/>
        </w:rPr>
        <w:t>Ovocie a zelenina</w:t>
      </w:r>
      <w:r w:rsidR="00E96D9E"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uvedený v Prílohe č.</w:t>
      </w:r>
      <w:r w:rsidR="00D1425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766A">
        <w:rPr>
          <w:rFonts w:ascii="Times New Roman" w:hAnsi="Times New Roman" w:cs="Times New Roman"/>
          <w:color w:val="000000"/>
          <w:sz w:val="23"/>
          <w:szCs w:val="23"/>
        </w:rPr>
        <w:t xml:space="preserve">p. Martina </w:t>
      </w:r>
      <w:proofErr w:type="spellStart"/>
      <w:r w:rsidR="0060766A">
        <w:rPr>
          <w:rFonts w:ascii="Times New Roman" w:hAnsi="Times New Roman" w:cs="Times New Roman"/>
          <w:color w:val="000000"/>
          <w:sz w:val="23"/>
          <w:szCs w:val="23"/>
        </w:rPr>
        <w:t>Kurtíková</w:t>
      </w:r>
      <w:proofErr w:type="spellEnd"/>
      <w:r w:rsidR="0060766A">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w:t>
      </w:r>
      <w:r w:rsidR="00F938B3">
        <w:rPr>
          <w:rFonts w:ascii="Times New Roman" w:hAnsi="Times New Roman"/>
          <w:sz w:val="23"/>
          <w:szCs w:val="23"/>
        </w:rPr>
        <w:t xml:space="preserve"> </w:t>
      </w:r>
      <w:r w:rsidR="00F938B3" w:rsidRPr="00F435AE">
        <w:rPr>
          <w:rFonts w:ascii="Times New Roman" w:hAnsi="Times New Roman"/>
          <w:i/>
          <w:sz w:val="23"/>
          <w:szCs w:val="23"/>
        </w:rPr>
        <w:t>(doplní predávajúci)</w:t>
      </w:r>
      <w:r w:rsidRPr="00F435AE">
        <w:rPr>
          <w:rFonts w:ascii="Times New Roman" w:hAnsi="Times New Roman"/>
          <w:sz w:val="23"/>
          <w:szCs w:val="23"/>
        </w:rPr>
        <w:t>,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48" w:rsidRDefault="00223748" w:rsidP="00DC0C8A">
      <w:pPr>
        <w:spacing w:after="0" w:line="240" w:lineRule="auto"/>
      </w:pPr>
      <w:r>
        <w:separator/>
      </w:r>
    </w:p>
  </w:endnote>
  <w:endnote w:type="continuationSeparator" w:id="0">
    <w:p w:rsidR="00223748" w:rsidRDefault="00223748"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6454"/>
      <w:docPartObj>
        <w:docPartGallery w:val="Page Numbers (Bottom of Page)"/>
        <w:docPartUnique/>
      </w:docPartObj>
    </w:sdtPr>
    <w:sdtEndPr>
      <w:rPr>
        <w:rFonts w:ascii="Times New Roman" w:hAnsi="Times New Roman" w:cs="Times New Roman"/>
      </w:rPr>
    </w:sdtEndPr>
    <w:sdtContent>
      <w:p w:rsidR="00006A39" w:rsidRPr="00006A39" w:rsidRDefault="00B55139">
        <w:pPr>
          <w:pStyle w:val="Pta"/>
          <w:jc w:val="right"/>
          <w:rPr>
            <w:rFonts w:ascii="Times New Roman" w:hAnsi="Times New Roman" w:cs="Times New Roman"/>
          </w:rPr>
        </w:pPr>
        <w:r w:rsidRPr="00006A39">
          <w:rPr>
            <w:rFonts w:ascii="Times New Roman" w:hAnsi="Times New Roman" w:cs="Times New Roman"/>
          </w:rPr>
          <w:fldChar w:fldCharType="begin"/>
        </w:r>
        <w:r w:rsidR="00006A39" w:rsidRPr="00006A39">
          <w:rPr>
            <w:rFonts w:ascii="Times New Roman" w:hAnsi="Times New Roman" w:cs="Times New Roman"/>
          </w:rPr>
          <w:instrText xml:space="preserve"> PAGE   \* MERGEFORMAT </w:instrText>
        </w:r>
        <w:r w:rsidRPr="00006A39">
          <w:rPr>
            <w:rFonts w:ascii="Times New Roman" w:hAnsi="Times New Roman" w:cs="Times New Roman"/>
          </w:rPr>
          <w:fldChar w:fldCharType="separate"/>
        </w:r>
        <w:r w:rsidR="00F938B3">
          <w:rPr>
            <w:rFonts w:ascii="Times New Roman" w:hAnsi="Times New Roman" w:cs="Times New Roman"/>
            <w:noProof/>
          </w:rPr>
          <w:t>7</w:t>
        </w:r>
        <w:r w:rsidRPr="00006A39">
          <w:rPr>
            <w:rFonts w:ascii="Times New Roman" w:hAnsi="Times New Roman" w:cs="Times New Roman"/>
          </w:rPr>
          <w:fldChar w:fldCharType="end"/>
        </w:r>
      </w:p>
    </w:sdtContent>
  </w:sdt>
  <w:p w:rsidR="00006A39" w:rsidRDefault="00006A3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48" w:rsidRDefault="00223748" w:rsidP="00DC0C8A">
      <w:pPr>
        <w:spacing w:after="0" w:line="240" w:lineRule="auto"/>
      </w:pPr>
      <w:r>
        <w:separator/>
      </w:r>
    </w:p>
  </w:footnote>
  <w:footnote w:type="continuationSeparator" w:id="0">
    <w:p w:rsidR="00223748" w:rsidRDefault="00223748"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06A39"/>
    <w:rsid w:val="00044965"/>
    <w:rsid w:val="00050B58"/>
    <w:rsid w:val="001138EB"/>
    <w:rsid w:val="00167E21"/>
    <w:rsid w:val="001F538C"/>
    <w:rsid w:val="00213ED6"/>
    <w:rsid w:val="00223748"/>
    <w:rsid w:val="00253DE1"/>
    <w:rsid w:val="00257D29"/>
    <w:rsid w:val="002852F1"/>
    <w:rsid w:val="002930D9"/>
    <w:rsid w:val="002964C2"/>
    <w:rsid w:val="002E53F0"/>
    <w:rsid w:val="00334DD8"/>
    <w:rsid w:val="00345105"/>
    <w:rsid w:val="00352A79"/>
    <w:rsid w:val="003C0CE8"/>
    <w:rsid w:val="003D11AB"/>
    <w:rsid w:val="00407B8F"/>
    <w:rsid w:val="00466B70"/>
    <w:rsid w:val="0047010F"/>
    <w:rsid w:val="00473357"/>
    <w:rsid w:val="005206AD"/>
    <w:rsid w:val="005449C2"/>
    <w:rsid w:val="00597B20"/>
    <w:rsid w:val="005B25A8"/>
    <w:rsid w:val="005D4F7E"/>
    <w:rsid w:val="005D7175"/>
    <w:rsid w:val="005F26EF"/>
    <w:rsid w:val="005F6DC4"/>
    <w:rsid w:val="005F764E"/>
    <w:rsid w:val="0060766A"/>
    <w:rsid w:val="006477F7"/>
    <w:rsid w:val="00676C3B"/>
    <w:rsid w:val="00746420"/>
    <w:rsid w:val="00752692"/>
    <w:rsid w:val="00755F0D"/>
    <w:rsid w:val="00791BAD"/>
    <w:rsid w:val="007B401D"/>
    <w:rsid w:val="007C24A8"/>
    <w:rsid w:val="007E3B59"/>
    <w:rsid w:val="008077A8"/>
    <w:rsid w:val="00827062"/>
    <w:rsid w:val="008416B5"/>
    <w:rsid w:val="008426CE"/>
    <w:rsid w:val="0086180D"/>
    <w:rsid w:val="008B5EFF"/>
    <w:rsid w:val="009221AA"/>
    <w:rsid w:val="0099052A"/>
    <w:rsid w:val="00990702"/>
    <w:rsid w:val="009A6264"/>
    <w:rsid w:val="009C4AB1"/>
    <w:rsid w:val="009E5527"/>
    <w:rsid w:val="00A16D5F"/>
    <w:rsid w:val="00A2736E"/>
    <w:rsid w:val="00A40456"/>
    <w:rsid w:val="00A57C67"/>
    <w:rsid w:val="00A97900"/>
    <w:rsid w:val="00AC6581"/>
    <w:rsid w:val="00AF02B1"/>
    <w:rsid w:val="00B43D4D"/>
    <w:rsid w:val="00B55139"/>
    <w:rsid w:val="00B577BB"/>
    <w:rsid w:val="00BA3432"/>
    <w:rsid w:val="00C505F4"/>
    <w:rsid w:val="00C53801"/>
    <w:rsid w:val="00C9019D"/>
    <w:rsid w:val="00CE6804"/>
    <w:rsid w:val="00D017D8"/>
    <w:rsid w:val="00D1425D"/>
    <w:rsid w:val="00D1602F"/>
    <w:rsid w:val="00D530E0"/>
    <w:rsid w:val="00DA7DFA"/>
    <w:rsid w:val="00DC0C8A"/>
    <w:rsid w:val="00E01564"/>
    <w:rsid w:val="00E30502"/>
    <w:rsid w:val="00E3134B"/>
    <w:rsid w:val="00E423F8"/>
    <w:rsid w:val="00E75B07"/>
    <w:rsid w:val="00E84AC6"/>
    <w:rsid w:val="00E96D9E"/>
    <w:rsid w:val="00E97CDC"/>
    <w:rsid w:val="00EE26BF"/>
    <w:rsid w:val="00F435AE"/>
    <w:rsid w:val="00F522A9"/>
    <w:rsid w:val="00F62151"/>
    <w:rsid w:val="00F938B3"/>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34F83-3825-4589-8A9B-5F635DC1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4190</Words>
  <Characters>23888</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10</cp:revision>
  <dcterms:created xsi:type="dcterms:W3CDTF">2024-03-18T09:30:00Z</dcterms:created>
  <dcterms:modified xsi:type="dcterms:W3CDTF">2024-05-06T10:05:00Z</dcterms:modified>
</cp:coreProperties>
</file>