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EABD0" w14:textId="520D8A0A" w:rsidR="0011486A" w:rsidRPr="0011486A" w:rsidRDefault="0011486A" w:rsidP="0011486A">
      <w:pPr>
        <w:spacing w:after="120" w:line="264" w:lineRule="auto"/>
        <w:jc w:val="right"/>
        <w:rPr>
          <w:rFonts w:ascii="Arial" w:hAnsi="Arial" w:cs="Arial"/>
          <w:b/>
          <w:sz w:val="20"/>
        </w:rPr>
      </w:pPr>
      <w:bookmarkStart w:id="0" w:name="_Hlk159601212"/>
      <w:r w:rsidRPr="0011486A">
        <w:rPr>
          <w:rFonts w:ascii="Arial" w:hAnsi="Arial" w:cs="Arial"/>
          <w:b/>
          <w:sz w:val="20"/>
        </w:rPr>
        <w:t>Príloha č. 1</w:t>
      </w:r>
    </w:p>
    <w:p w14:paraId="22B64A13" w14:textId="77777777" w:rsidR="0011486A" w:rsidRDefault="0011486A" w:rsidP="00194FD3">
      <w:pPr>
        <w:spacing w:after="120" w:line="264" w:lineRule="auto"/>
        <w:jc w:val="both"/>
        <w:rPr>
          <w:rFonts w:ascii="Arial" w:hAnsi="Arial" w:cs="Arial"/>
          <w:sz w:val="20"/>
        </w:rPr>
      </w:pPr>
    </w:p>
    <w:p w14:paraId="30D61EC1" w14:textId="076636FE" w:rsidR="0011486A" w:rsidRPr="0011486A" w:rsidRDefault="0011486A" w:rsidP="0011486A">
      <w:pPr>
        <w:spacing w:after="12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11486A">
        <w:rPr>
          <w:rFonts w:ascii="Arial" w:hAnsi="Arial" w:cs="Arial"/>
          <w:b/>
          <w:sz w:val="28"/>
          <w:szCs w:val="28"/>
        </w:rPr>
        <w:t>Opis predmetu zákazky</w:t>
      </w:r>
    </w:p>
    <w:p w14:paraId="4E020C67" w14:textId="77777777" w:rsidR="0011486A" w:rsidRDefault="0011486A" w:rsidP="00194FD3">
      <w:pPr>
        <w:spacing w:after="120" w:line="264" w:lineRule="auto"/>
        <w:jc w:val="both"/>
        <w:rPr>
          <w:rFonts w:ascii="Arial" w:hAnsi="Arial" w:cs="Arial"/>
          <w:sz w:val="20"/>
        </w:rPr>
      </w:pPr>
    </w:p>
    <w:p w14:paraId="59F2D670" w14:textId="13D9371E" w:rsidR="00855686" w:rsidRPr="00C16AB6" w:rsidRDefault="00855686" w:rsidP="00247EC3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C16AB6">
        <w:rPr>
          <w:rFonts w:ascii="Arial" w:hAnsi="Arial" w:cs="Arial"/>
          <w:sz w:val="20"/>
        </w:rPr>
        <w:t xml:space="preserve">Predmetom zákazky je </w:t>
      </w:r>
      <w:r w:rsidR="00DA2927" w:rsidRPr="00C16AB6">
        <w:rPr>
          <w:rFonts w:ascii="Arial" w:hAnsi="Arial" w:cs="Arial"/>
          <w:sz w:val="20"/>
        </w:rPr>
        <w:t xml:space="preserve">dodávka serverovej infraštruktúry, ktorá pozostáva zo Server Typ 1, </w:t>
      </w:r>
      <w:r w:rsidR="006E320D" w:rsidRPr="00C16AB6">
        <w:rPr>
          <w:rFonts w:ascii="Arial" w:hAnsi="Arial" w:cs="Arial"/>
          <w:sz w:val="20"/>
        </w:rPr>
        <w:br/>
      </w:r>
      <w:r w:rsidR="00DA2927" w:rsidRPr="00C16AB6">
        <w:rPr>
          <w:rFonts w:ascii="Arial" w:hAnsi="Arial" w:cs="Arial"/>
          <w:sz w:val="20"/>
        </w:rPr>
        <w:t>Server Typ 2 a softvérového nástroja pre centrálnu správu infraštruktúry</w:t>
      </w:r>
      <w:r w:rsidR="00D571E0" w:rsidRPr="00C16AB6">
        <w:rPr>
          <w:rFonts w:ascii="Arial" w:hAnsi="Arial" w:cs="Arial"/>
          <w:sz w:val="20"/>
        </w:rPr>
        <w:t>.</w:t>
      </w:r>
      <w:r w:rsidR="00AF64DB">
        <w:rPr>
          <w:rFonts w:ascii="Arial" w:hAnsi="Arial" w:cs="Arial"/>
          <w:sz w:val="20"/>
        </w:rPr>
        <w:t xml:space="preserve"> </w:t>
      </w:r>
    </w:p>
    <w:p w14:paraId="71ACD128" w14:textId="5ED430E6" w:rsidR="0064328D" w:rsidRPr="00DE700E" w:rsidRDefault="00DE700E" w:rsidP="00247EC3">
      <w:pPr>
        <w:pStyle w:val="Nadpis2"/>
        <w:shd w:val="clear" w:color="auto" w:fill="FFFFFF"/>
        <w:spacing w:before="0" w:after="120" w:line="240" w:lineRule="auto"/>
        <w:rPr>
          <w:rFonts w:ascii="Arial" w:hAnsi="Arial" w:cs="Arial"/>
          <w:b/>
          <w:color w:val="1F1F1F"/>
          <w:sz w:val="20"/>
          <w:szCs w:val="22"/>
          <w:u w:val="single"/>
        </w:rPr>
      </w:pPr>
      <w:r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 xml:space="preserve">A: </w:t>
      </w:r>
      <w:r w:rsidR="0064328D"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>Slovný opis požiadaviek:</w:t>
      </w:r>
    </w:p>
    <w:p w14:paraId="06BDB4A6" w14:textId="3ECCFA0A" w:rsidR="00222DB0" w:rsidRPr="00C16AB6" w:rsidRDefault="00247EC3" w:rsidP="00247EC3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1F1F1F"/>
          <w:sz w:val="20"/>
          <w:szCs w:val="22"/>
        </w:rPr>
      </w:pPr>
      <w:r>
        <w:rPr>
          <w:rFonts w:ascii="Arial" w:hAnsi="Arial" w:cs="Arial"/>
          <w:color w:val="1F1F1F"/>
          <w:sz w:val="20"/>
          <w:szCs w:val="22"/>
        </w:rPr>
        <w:t>P</w:t>
      </w:r>
      <w:r w:rsidR="00F40C93" w:rsidRPr="00C16AB6">
        <w:rPr>
          <w:rFonts w:ascii="Arial" w:hAnsi="Arial" w:cs="Arial"/>
          <w:color w:val="1F1F1F"/>
          <w:sz w:val="20"/>
          <w:szCs w:val="22"/>
        </w:rPr>
        <w:t>rostredie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, v ktorom budú servery </w:t>
      </w:r>
      <w:r w:rsidR="008B59A4" w:rsidRPr="00C16AB6">
        <w:rPr>
          <w:rFonts w:ascii="Arial" w:hAnsi="Arial" w:cs="Arial"/>
          <w:sz w:val="20"/>
          <w:szCs w:val="22"/>
        </w:rPr>
        <w:t xml:space="preserve">Typ 1 a Typ 2 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integrované neumožňuje pripojenie </w:t>
      </w:r>
      <w:r w:rsidR="008B59A4" w:rsidRPr="00C16AB6">
        <w:rPr>
          <w:rFonts w:ascii="Arial" w:hAnsi="Arial" w:cs="Arial"/>
          <w:sz w:val="20"/>
          <w:szCs w:val="22"/>
        </w:rPr>
        <w:t>s</w:t>
      </w:r>
      <w:r w:rsidR="00222DB0" w:rsidRPr="00C16AB6">
        <w:rPr>
          <w:rFonts w:ascii="Arial" w:hAnsi="Arial" w:cs="Arial"/>
          <w:sz w:val="20"/>
          <w:szCs w:val="22"/>
        </w:rPr>
        <w:t>erverov Typ 1 a Typ 2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 so samostatnými </w:t>
      </w:r>
      <w:proofErr w:type="spellStart"/>
      <w:r w:rsidR="00222DB0" w:rsidRPr="00C16AB6">
        <w:rPr>
          <w:rFonts w:ascii="Arial" w:hAnsi="Arial" w:cs="Arial"/>
          <w:color w:val="1F1F1F"/>
          <w:sz w:val="20"/>
          <w:szCs w:val="22"/>
        </w:rPr>
        <w:t>ethernet</w:t>
      </w:r>
      <w:proofErr w:type="spellEnd"/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 rozhraniami a samostatnými FC rozhraniami. Preto z uvedeného dôvodu verený obstarávateľ požaduje dodávku konvergovaných sieťových adaptérov.</w:t>
      </w:r>
      <w:r w:rsidR="008B59A4" w:rsidRPr="00C16AB6">
        <w:rPr>
          <w:rFonts w:ascii="Arial" w:hAnsi="Arial" w:cs="Arial"/>
          <w:color w:val="1F1F1F"/>
          <w:sz w:val="20"/>
          <w:szCs w:val="22"/>
        </w:rPr>
        <w:t xml:space="preserve"> Táto požiadavka je opodstatnená obmedzeniami prostredia, v ktorom budú servery </w:t>
      </w:r>
      <w:r w:rsidR="008B59A4" w:rsidRPr="00C16AB6">
        <w:rPr>
          <w:rFonts w:ascii="Arial" w:hAnsi="Arial" w:cs="Arial"/>
          <w:sz w:val="20"/>
          <w:szCs w:val="22"/>
        </w:rPr>
        <w:t xml:space="preserve">Typ 1 a Typ 2  </w:t>
      </w:r>
      <w:r w:rsidR="008B59A4" w:rsidRPr="00C16AB6">
        <w:rPr>
          <w:rFonts w:ascii="Arial" w:hAnsi="Arial" w:cs="Arial"/>
          <w:color w:val="1F1F1F"/>
          <w:sz w:val="20"/>
          <w:szCs w:val="22"/>
        </w:rPr>
        <w:t>integrované.</w:t>
      </w:r>
    </w:p>
    <w:p w14:paraId="5BFDA4F0" w14:textId="083D2340" w:rsidR="00222DB0" w:rsidRPr="00C16AB6" w:rsidRDefault="00194FD3" w:rsidP="00247EC3">
      <w:pPr>
        <w:pStyle w:val="Normlnywebov"/>
        <w:shd w:val="clear" w:color="auto" w:fill="FFFFFF"/>
        <w:spacing w:before="0" w:beforeAutospacing="0" w:after="120" w:afterAutospacing="0"/>
        <w:ind w:left="714"/>
        <w:jc w:val="both"/>
        <w:rPr>
          <w:rFonts w:ascii="Arial" w:hAnsi="Arial" w:cs="Arial"/>
          <w:color w:val="1F1F1F"/>
          <w:sz w:val="20"/>
          <w:szCs w:val="22"/>
        </w:rPr>
      </w:pPr>
      <w:r w:rsidRPr="00C16AB6">
        <w:rPr>
          <w:rFonts w:ascii="Arial" w:hAnsi="Arial" w:cs="Arial"/>
          <w:color w:val="1F1F1F"/>
          <w:sz w:val="20"/>
          <w:szCs w:val="22"/>
        </w:rPr>
        <w:t>Uchádzač</w:t>
      </w:r>
      <w:r w:rsidR="0064328D" w:rsidRPr="00C16AB6">
        <w:rPr>
          <w:rFonts w:ascii="Arial" w:hAnsi="Arial" w:cs="Arial"/>
          <w:color w:val="1F1F1F"/>
          <w:sz w:val="20"/>
          <w:szCs w:val="22"/>
        </w:rPr>
        <w:t xml:space="preserve"> musí </w:t>
      </w:r>
      <w:r w:rsidRPr="00C16AB6">
        <w:rPr>
          <w:rFonts w:ascii="Arial" w:hAnsi="Arial" w:cs="Arial"/>
          <w:color w:val="1F1F1F"/>
          <w:sz w:val="20"/>
          <w:szCs w:val="22"/>
        </w:rPr>
        <w:t>zabezpečiť</w:t>
      </w:r>
      <w:r w:rsidR="0064328D" w:rsidRPr="00C16AB6">
        <w:rPr>
          <w:rFonts w:ascii="Arial" w:hAnsi="Arial" w:cs="Arial"/>
          <w:color w:val="1F1F1F"/>
          <w:sz w:val="20"/>
          <w:szCs w:val="22"/>
        </w:rPr>
        <w:t xml:space="preserve"> 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požadované </w:t>
      </w:r>
      <w:r w:rsidR="0064328D" w:rsidRPr="00C16AB6">
        <w:rPr>
          <w:rFonts w:ascii="Arial" w:hAnsi="Arial" w:cs="Arial"/>
          <w:color w:val="1F1F1F"/>
          <w:sz w:val="20"/>
          <w:szCs w:val="22"/>
        </w:rPr>
        <w:t xml:space="preserve">servery </w:t>
      </w:r>
      <w:r w:rsidR="00222DB0" w:rsidRPr="00C16AB6">
        <w:rPr>
          <w:rFonts w:ascii="Arial" w:hAnsi="Arial" w:cs="Arial"/>
          <w:sz w:val="20"/>
          <w:szCs w:val="22"/>
        </w:rPr>
        <w:t xml:space="preserve">Typ 1 a Typ 2 </w:t>
      </w:r>
      <w:r w:rsidR="0064328D" w:rsidRPr="00C16AB6">
        <w:rPr>
          <w:rFonts w:ascii="Arial" w:hAnsi="Arial" w:cs="Arial"/>
          <w:color w:val="1F1F1F"/>
          <w:sz w:val="20"/>
          <w:szCs w:val="22"/>
        </w:rPr>
        <w:t>s konvergovanými sieťovými adaptérmi</w:t>
      </w:r>
      <w:r w:rsidRPr="00C16AB6">
        <w:rPr>
          <w:rFonts w:ascii="Arial" w:hAnsi="Arial" w:cs="Arial"/>
          <w:color w:val="1F1F1F"/>
          <w:sz w:val="20"/>
          <w:szCs w:val="22"/>
        </w:rPr>
        <w:t xml:space="preserve"> s nižšie požadovanou priepustnosťou a funkcionalitami z dôvodu zabezpečeni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>a</w:t>
      </w:r>
      <w:r w:rsidRPr="00C16AB6">
        <w:rPr>
          <w:rFonts w:ascii="Arial" w:hAnsi="Arial" w:cs="Arial"/>
          <w:color w:val="1F1F1F"/>
          <w:sz w:val="20"/>
          <w:szCs w:val="22"/>
        </w:rPr>
        <w:t xml:space="preserve"> nevyhnutnej </w:t>
      </w:r>
      <w:proofErr w:type="spellStart"/>
      <w:r w:rsidRPr="00C16AB6">
        <w:rPr>
          <w:rFonts w:ascii="Arial" w:hAnsi="Arial" w:cs="Arial"/>
          <w:color w:val="1F1F1F"/>
          <w:sz w:val="20"/>
          <w:szCs w:val="22"/>
        </w:rPr>
        <w:t>škálovateľnosti</w:t>
      </w:r>
      <w:proofErr w:type="spellEnd"/>
      <w:r w:rsidR="00222DB0" w:rsidRPr="00C16AB6">
        <w:rPr>
          <w:rFonts w:ascii="Arial" w:hAnsi="Arial" w:cs="Arial"/>
          <w:color w:val="1F1F1F"/>
          <w:sz w:val="20"/>
          <w:szCs w:val="22"/>
        </w:rPr>
        <w:t>,</w:t>
      </w:r>
      <w:r w:rsidRPr="00C16AB6">
        <w:rPr>
          <w:rFonts w:ascii="Arial" w:hAnsi="Arial" w:cs="Arial"/>
          <w:color w:val="1F1F1F"/>
          <w:sz w:val="20"/>
          <w:szCs w:val="22"/>
        </w:rPr>
        <w:t xml:space="preserve"> flexibility riešenia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 (vrátane konfigurácie sieťovej infraštruktúry) </w:t>
      </w:r>
      <w:r w:rsidR="00C16AB6" w:rsidRPr="00C16AB6">
        <w:rPr>
          <w:rFonts w:ascii="Arial" w:hAnsi="Arial" w:cs="Arial"/>
          <w:color w:val="1F1F1F"/>
          <w:sz w:val="20"/>
          <w:szCs w:val="22"/>
        </w:rPr>
        <w:br/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a zníženia </w:t>
      </w:r>
      <w:r w:rsidR="001000B1" w:rsidRPr="00C16AB6">
        <w:rPr>
          <w:rFonts w:ascii="Arial" w:hAnsi="Arial" w:cs="Arial"/>
          <w:color w:val="1F1F1F"/>
          <w:sz w:val="20"/>
          <w:szCs w:val="22"/>
        </w:rPr>
        <w:t>nákladov inak potrebných pre samostatné SAN prvky</w:t>
      </w:r>
      <w:r w:rsidRPr="00C16AB6">
        <w:rPr>
          <w:rFonts w:ascii="Arial" w:hAnsi="Arial" w:cs="Arial"/>
          <w:color w:val="1F1F1F"/>
          <w:sz w:val="20"/>
          <w:szCs w:val="22"/>
        </w:rPr>
        <w:t xml:space="preserve">. </w:t>
      </w:r>
    </w:p>
    <w:p w14:paraId="63C6EBB2" w14:textId="04BA0881" w:rsidR="00194FD3" w:rsidRPr="00C16AB6" w:rsidRDefault="00E45627" w:rsidP="00247EC3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  <w:color w:val="1F1F1F"/>
          <w:sz w:val="20"/>
          <w:szCs w:val="22"/>
        </w:rPr>
      </w:pPr>
      <w:r>
        <w:rPr>
          <w:rFonts w:ascii="Arial" w:hAnsi="Arial" w:cs="Arial"/>
          <w:color w:val="1F1F1F"/>
          <w:sz w:val="20"/>
          <w:szCs w:val="22"/>
        </w:rPr>
        <w:t>Verejný obstarávateľ odporúča</w:t>
      </w:r>
      <w:r w:rsidR="00194FD3" w:rsidRPr="00B37C77">
        <w:rPr>
          <w:rFonts w:ascii="Arial" w:hAnsi="Arial" w:cs="Arial"/>
          <w:color w:val="1F1F1F"/>
          <w:sz w:val="20"/>
          <w:szCs w:val="22"/>
        </w:rPr>
        <w:t xml:space="preserve">, </w:t>
      </w:r>
      <w:r>
        <w:rPr>
          <w:rFonts w:ascii="Arial" w:hAnsi="Arial" w:cs="Arial"/>
          <w:color w:val="1F1F1F"/>
          <w:sz w:val="20"/>
          <w:szCs w:val="22"/>
        </w:rPr>
        <w:t>aby</w:t>
      </w:r>
      <w:r w:rsidR="00194FD3" w:rsidRPr="00B37C77">
        <w:rPr>
          <w:rFonts w:ascii="Arial" w:hAnsi="Arial" w:cs="Arial"/>
          <w:color w:val="1F1F1F"/>
          <w:sz w:val="20"/>
          <w:szCs w:val="22"/>
        </w:rPr>
        <w:t xml:space="preserve"> všetky ponúkané </w:t>
      </w:r>
      <w:r w:rsidR="00C16AB6" w:rsidRPr="00B37C77">
        <w:rPr>
          <w:rFonts w:ascii="Arial" w:hAnsi="Arial" w:cs="Arial"/>
          <w:color w:val="1F1F1F"/>
          <w:sz w:val="20"/>
          <w:szCs w:val="22"/>
        </w:rPr>
        <w:t>položky</w:t>
      </w:r>
      <w:r w:rsidR="00194FD3" w:rsidRPr="00B37C77">
        <w:rPr>
          <w:rFonts w:ascii="Arial" w:hAnsi="Arial" w:cs="Arial"/>
          <w:color w:val="1F1F1F"/>
          <w:sz w:val="20"/>
          <w:szCs w:val="22"/>
        </w:rPr>
        <w:t xml:space="preserve"> </w:t>
      </w:r>
      <w:r>
        <w:rPr>
          <w:rFonts w:ascii="Arial" w:hAnsi="Arial" w:cs="Arial"/>
          <w:color w:val="1F1F1F"/>
          <w:sz w:val="20"/>
          <w:szCs w:val="22"/>
        </w:rPr>
        <w:t>boli</w:t>
      </w:r>
      <w:r w:rsidR="00194FD3" w:rsidRPr="00B37C77">
        <w:rPr>
          <w:rFonts w:ascii="Arial" w:hAnsi="Arial" w:cs="Arial"/>
          <w:color w:val="1F1F1F"/>
          <w:sz w:val="20"/>
          <w:szCs w:val="22"/>
        </w:rPr>
        <w:t xml:space="preserve"> od rovnakého výrobcu a</w:t>
      </w:r>
      <w:r w:rsidR="00194FD3" w:rsidRPr="00C16AB6">
        <w:rPr>
          <w:rFonts w:ascii="Arial" w:hAnsi="Arial" w:cs="Arial"/>
          <w:color w:val="1F1F1F"/>
          <w:sz w:val="20"/>
          <w:szCs w:val="22"/>
        </w:rPr>
        <w:t xml:space="preserve"> to z dôvodu zabezpečenia </w:t>
      </w:r>
      <w:proofErr w:type="spellStart"/>
      <w:r w:rsidR="00194FD3" w:rsidRPr="00C16AB6">
        <w:rPr>
          <w:rFonts w:ascii="Arial" w:hAnsi="Arial" w:cs="Arial"/>
          <w:color w:val="1F1F1F"/>
          <w:sz w:val="20"/>
          <w:szCs w:val="22"/>
        </w:rPr>
        <w:t>interoperability</w:t>
      </w:r>
      <w:proofErr w:type="spellEnd"/>
      <w:r w:rsidR="00194FD3" w:rsidRPr="00C16AB6">
        <w:rPr>
          <w:rFonts w:ascii="Arial" w:hAnsi="Arial" w:cs="Arial"/>
          <w:color w:val="1F1F1F"/>
          <w:sz w:val="20"/>
          <w:szCs w:val="22"/>
        </w:rPr>
        <w:t xml:space="preserve">, zníženia 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rizika vzájomnej </w:t>
      </w:r>
      <w:r w:rsidR="00C16AB6" w:rsidRPr="00C16AB6">
        <w:rPr>
          <w:rFonts w:ascii="Arial" w:hAnsi="Arial" w:cs="Arial"/>
          <w:color w:val="1F1F1F"/>
          <w:sz w:val="20"/>
          <w:szCs w:val="22"/>
        </w:rPr>
        <w:t>ne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>kompatibility, zjednodušenia správy a diagnostiky</w:t>
      </w:r>
      <w:r w:rsidR="00194FD3" w:rsidRPr="00C16AB6">
        <w:rPr>
          <w:rFonts w:ascii="Arial" w:hAnsi="Arial" w:cs="Arial"/>
          <w:color w:val="1F1F1F"/>
          <w:sz w:val="20"/>
          <w:szCs w:val="22"/>
        </w:rPr>
        <w:t>.</w:t>
      </w:r>
    </w:p>
    <w:p w14:paraId="301EDD42" w14:textId="4930987A" w:rsidR="00222DB0" w:rsidRPr="00C16AB6" w:rsidRDefault="00222DB0" w:rsidP="00247EC3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  <w:color w:val="1F1F1F"/>
          <w:sz w:val="20"/>
          <w:szCs w:val="22"/>
        </w:rPr>
      </w:pPr>
      <w:r w:rsidRPr="00C16AB6">
        <w:rPr>
          <w:rFonts w:ascii="Arial" w:hAnsi="Arial" w:cs="Arial"/>
          <w:color w:val="1F1F1F"/>
          <w:sz w:val="20"/>
          <w:szCs w:val="22"/>
        </w:rPr>
        <w:t>Uchádzač musí zabezpečiť, že požadovaná serverová infraštruktúra musí spĺňať bezpečnostné požiadavky tak ako ich stanovil verejný obstarávateľ.</w:t>
      </w:r>
    </w:p>
    <w:p w14:paraId="521B9842" w14:textId="7868E055" w:rsidR="008B59A4" w:rsidRDefault="00247EC3" w:rsidP="00247EC3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  <w:color w:val="1F1F1F"/>
          <w:sz w:val="20"/>
          <w:szCs w:val="22"/>
        </w:rPr>
      </w:pPr>
      <w:r>
        <w:rPr>
          <w:rFonts w:ascii="Arial" w:hAnsi="Arial" w:cs="Arial"/>
          <w:color w:val="1F1F1F"/>
          <w:sz w:val="20"/>
          <w:szCs w:val="22"/>
        </w:rPr>
        <w:t>V</w:t>
      </w:r>
      <w:r w:rsidR="00C16AB6" w:rsidRPr="00C16AB6">
        <w:rPr>
          <w:rFonts w:ascii="Arial" w:hAnsi="Arial" w:cs="Arial"/>
          <w:color w:val="1F1F1F"/>
          <w:sz w:val="20"/>
          <w:szCs w:val="22"/>
        </w:rPr>
        <w:t xml:space="preserve">erejný obstarávateľ požaduje ucelené a plne integrované riešenie pre požadovanú serverovú infraštruktúru. Z uvedeného dôvodu požaduje verejný obstarávateľ softvérový nástroj pre centrálnu správu infraštruktúry, ktorý bude zabezpečovať centrálnu správu serverovej infraštruktúry s previazaním na manažment sieťovej infraštruktúry, ktorý umožňuje integráciu s existujúcimi sieťovými zariadeniami od výrobcu Cisco Systems v DC prostrediach verejného obstarávateľa. Z uvedených dôvodov požaduje verejný obstarávateľ aby softvérový nástroj pre centrálnu správu infraštruktúry umožňoval previazanie s </w:t>
      </w:r>
      <w:proofErr w:type="spellStart"/>
      <w:r w:rsidR="00C16AB6" w:rsidRPr="00C16AB6">
        <w:rPr>
          <w:rFonts w:ascii="Arial" w:hAnsi="Arial" w:cs="Arial"/>
          <w:color w:val="1F1F1F"/>
          <w:sz w:val="20"/>
          <w:szCs w:val="22"/>
        </w:rPr>
        <w:t>manažmentovým</w:t>
      </w:r>
      <w:proofErr w:type="spellEnd"/>
      <w:r w:rsidR="00C16AB6" w:rsidRPr="00C16AB6">
        <w:rPr>
          <w:rFonts w:ascii="Arial" w:hAnsi="Arial" w:cs="Arial"/>
          <w:color w:val="1F1F1F"/>
          <w:sz w:val="20"/>
          <w:szCs w:val="22"/>
        </w:rPr>
        <w:t xml:space="preserve"> nástrojom pre správu riešenia softvérovo definovanej sieťovej infraštruktúry (SDN)</w:t>
      </w:r>
      <w:r w:rsidR="006F1B71" w:rsidRPr="00C16AB6">
        <w:rPr>
          <w:rFonts w:ascii="Arial" w:hAnsi="Arial" w:cs="Arial"/>
          <w:color w:val="1F1F1F"/>
          <w:sz w:val="20"/>
          <w:szCs w:val="22"/>
        </w:rPr>
        <w:t xml:space="preserve">. </w:t>
      </w:r>
    </w:p>
    <w:p w14:paraId="35D9525E" w14:textId="77777777" w:rsidR="00DE700E" w:rsidRPr="00DE700E" w:rsidRDefault="00DE700E" w:rsidP="00DE700E">
      <w:pPr>
        <w:numPr>
          <w:ilvl w:val="0"/>
          <w:numId w:val="14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sz w:val="20"/>
        </w:rPr>
      </w:pPr>
      <w:r>
        <w:rPr>
          <w:rStyle w:val="Zhlavie4"/>
          <w:rFonts w:ascii="Arial" w:hAnsi="Arial" w:cs="Arial"/>
          <w:b w:val="0"/>
          <w:sz w:val="20"/>
        </w:rPr>
        <w:t>V</w:t>
      </w:r>
      <w:r w:rsidRPr="00DE700E">
        <w:rPr>
          <w:rStyle w:val="Zhlavie4"/>
          <w:rFonts w:ascii="Arial" w:hAnsi="Arial" w:cs="Arial"/>
          <w:b w:val="0"/>
          <w:sz w:val="20"/>
        </w:rPr>
        <w:t>šetky komponenty uvedené v konfigurácii ponúkaného predmetu zákazky musia byť certifikované výrobcom daného predmetu zákazky (originálne príslušenstvo),</w:t>
      </w:r>
    </w:p>
    <w:p w14:paraId="6A731E21" w14:textId="39560B54" w:rsidR="00DE700E" w:rsidRPr="00DE700E" w:rsidRDefault="00DE700E" w:rsidP="00DE700E">
      <w:pPr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Style w:val="Zhlavie4"/>
          <w:rFonts w:ascii="Arial" w:hAnsi="Arial" w:cs="Arial"/>
          <w:b w:val="0"/>
          <w:sz w:val="20"/>
        </w:rPr>
        <w:t>K</w:t>
      </w:r>
      <w:r w:rsidRPr="00C16AB6">
        <w:rPr>
          <w:rStyle w:val="Zhlavie4"/>
          <w:rFonts w:ascii="Arial" w:hAnsi="Arial" w:cs="Arial"/>
          <w:b w:val="0"/>
          <w:sz w:val="20"/>
        </w:rPr>
        <w:t>aždý funkčný celok má detailne špecifikované požadované parametre jednotlivých zariadení.  Všetky obstarávané zariadenia musia byť navzájom kompatibilné.</w:t>
      </w:r>
    </w:p>
    <w:bookmarkEnd w:id="0"/>
    <w:p w14:paraId="308E1FFB" w14:textId="6CB41C09" w:rsidR="006E320D" w:rsidRPr="00C16AB6" w:rsidRDefault="00DE700E" w:rsidP="00247EC3">
      <w:pPr>
        <w:spacing w:before="360" w:line="240" w:lineRule="auto"/>
        <w:jc w:val="both"/>
        <w:rPr>
          <w:rStyle w:val="Zkladntext2Tun2"/>
          <w:rFonts w:ascii="Arial" w:hAnsi="Arial" w:cs="Arial"/>
          <w:bCs/>
          <w:sz w:val="20"/>
        </w:rPr>
      </w:pPr>
      <w:r>
        <w:rPr>
          <w:rStyle w:val="Zkladntext2Tun2"/>
          <w:rFonts w:ascii="Arial" w:hAnsi="Arial" w:cs="Arial"/>
          <w:bCs/>
          <w:sz w:val="20"/>
        </w:rPr>
        <w:t xml:space="preserve">B: </w:t>
      </w:r>
      <w:r w:rsidR="006E320D" w:rsidRPr="00C16AB6">
        <w:rPr>
          <w:rStyle w:val="Zkladntext2Tun2"/>
          <w:rFonts w:ascii="Arial" w:hAnsi="Arial" w:cs="Arial"/>
          <w:bCs/>
          <w:sz w:val="20"/>
        </w:rPr>
        <w:t xml:space="preserve">Uchádzač pre každú položku tvoriacu predmet zákazky: </w:t>
      </w:r>
    </w:p>
    <w:p w14:paraId="576DB886" w14:textId="59A2B740" w:rsidR="006E320D" w:rsidRPr="00C16AB6" w:rsidRDefault="00DE700E" w:rsidP="00DE700E">
      <w:pPr>
        <w:numPr>
          <w:ilvl w:val="0"/>
          <w:numId w:val="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bCs/>
          <w:sz w:val="20"/>
        </w:rPr>
      </w:pPr>
      <w:r w:rsidRPr="00DE700E">
        <w:rPr>
          <w:rStyle w:val="Zhlavie4"/>
          <w:rFonts w:ascii="Arial" w:hAnsi="Arial" w:cs="Arial"/>
          <w:b w:val="0"/>
          <w:sz w:val="20"/>
        </w:rPr>
        <w:t xml:space="preserve">uvedie do stĺpca </w:t>
      </w:r>
      <w:r w:rsidRPr="00DE700E">
        <w:rPr>
          <w:rStyle w:val="Zhlavie4"/>
          <w:rFonts w:ascii="Arial" w:hAnsi="Arial" w:cs="Arial"/>
          <w:b w:val="0"/>
          <w:i/>
          <w:sz w:val="20"/>
        </w:rPr>
        <w:t>„Plnenie uchádzača – uviesť parameter alebo vlastnosť ponúkaného tovaru“</w:t>
      </w:r>
      <w:r w:rsidRPr="00DE700E">
        <w:rPr>
          <w:rStyle w:val="Zhlavie4"/>
          <w:rFonts w:ascii="Arial" w:hAnsi="Arial" w:cs="Arial"/>
          <w:b w:val="0"/>
          <w:sz w:val="20"/>
        </w:rPr>
        <w:t xml:space="preserve"> hodnotu parametra alebo vlastnosť ponúkaného tovaru, z ktorej je zrejmý spôsob splnenia minimálnej požiadavky</w:t>
      </w:r>
      <w:r>
        <w:rPr>
          <w:rStyle w:val="Zhlavie4"/>
          <w:rFonts w:ascii="Arial" w:hAnsi="Arial" w:cs="Arial"/>
          <w:b w:val="0"/>
          <w:sz w:val="20"/>
        </w:rPr>
        <w:t>, tzn.</w:t>
      </w:r>
      <w:r w:rsidRPr="00DE700E">
        <w:rPr>
          <w:rStyle w:val="Zhlavie4"/>
          <w:rFonts w:ascii="Arial" w:hAnsi="Arial" w:cs="Arial"/>
          <w:b w:val="0"/>
          <w:sz w:val="20"/>
        </w:rPr>
        <w:t xml:space="preserve"> </w:t>
      </w:r>
      <w:r w:rsidR="006E320D" w:rsidRPr="00C16AB6">
        <w:rPr>
          <w:rStyle w:val="Zhlavie4"/>
          <w:rFonts w:ascii="Arial" w:hAnsi="Arial" w:cs="Arial"/>
          <w:b w:val="0"/>
          <w:sz w:val="20"/>
        </w:rPr>
        <w:t>vyplní všetky údaje v stĺpci „</w:t>
      </w:r>
      <w:r w:rsidR="001C25D5" w:rsidRPr="001C25D5">
        <w:rPr>
          <w:rStyle w:val="Zkladntext2Tun2"/>
          <w:rFonts w:ascii="Arial" w:hAnsi="Arial" w:cs="Arial"/>
          <w:b w:val="0"/>
          <w:bCs/>
          <w:i/>
          <w:sz w:val="20"/>
        </w:rPr>
        <w:t>Plnenie uchádzača – uviesť parameter alebo vlastnosť ponúkaného tovaru</w:t>
      </w:r>
      <w:r>
        <w:rPr>
          <w:rStyle w:val="Zhlavie4"/>
          <w:rFonts w:ascii="Arial" w:hAnsi="Arial" w:cs="Arial"/>
          <w:b w:val="0"/>
          <w:sz w:val="20"/>
        </w:rPr>
        <w:t>“</w:t>
      </w:r>
      <w:r w:rsidR="006E320D" w:rsidRPr="00C16AB6">
        <w:rPr>
          <w:rStyle w:val="Zhlavie4"/>
          <w:rFonts w:ascii="Arial" w:hAnsi="Arial" w:cs="Arial"/>
          <w:b w:val="0"/>
          <w:sz w:val="20"/>
        </w:rPr>
        <w:t xml:space="preserve"> nižšie uvedených tabuliek</w:t>
      </w:r>
      <w:r>
        <w:rPr>
          <w:rStyle w:val="Zhlavie4"/>
          <w:rFonts w:ascii="Arial" w:hAnsi="Arial" w:cs="Arial"/>
          <w:b w:val="0"/>
          <w:sz w:val="20"/>
        </w:rPr>
        <w:t xml:space="preserve"> č. 1 až č. 3 pri každom predmete zákazky</w:t>
      </w:r>
      <w:r w:rsidR="006E320D" w:rsidRPr="00C16AB6">
        <w:rPr>
          <w:rStyle w:val="Zhlavie4"/>
          <w:rFonts w:ascii="Arial" w:hAnsi="Arial" w:cs="Arial"/>
          <w:b w:val="0"/>
          <w:sz w:val="20"/>
        </w:rPr>
        <w:t xml:space="preserve"> slovne s objektívnym vyjadrením danej hodnoty (plnenie daného parametra uchádzačo</w:t>
      </w:r>
      <w:r>
        <w:rPr>
          <w:rStyle w:val="Zhlavie4"/>
          <w:rFonts w:ascii="Arial" w:hAnsi="Arial" w:cs="Arial"/>
          <w:b w:val="0"/>
          <w:sz w:val="20"/>
        </w:rPr>
        <w:t>m)</w:t>
      </w:r>
      <w:r w:rsidR="003D2306" w:rsidRPr="00C16AB6">
        <w:rPr>
          <w:rStyle w:val="Zhlavie4"/>
          <w:rFonts w:ascii="Arial" w:hAnsi="Arial" w:cs="Arial"/>
          <w:b w:val="0"/>
          <w:bCs/>
          <w:sz w:val="20"/>
        </w:rPr>
        <w:t>,</w:t>
      </w:r>
      <w:r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r w:rsidR="003D2306" w:rsidRPr="00C16AB6">
        <w:rPr>
          <w:rStyle w:val="Zhlavie4"/>
          <w:rFonts w:ascii="Arial" w:hAnsi="Arial" w:cs="Arial"/>
          <w:b w:val="0"/>
          <w:bCs/>
          <w:sz w:val="20"/>
        </w:rPr>
        <w:t xml:space="preserve">pričom presne špecifikuje jednoznačné označenie príslušného komponentu výrobcu s označením </w:t>
      </w:r>
      <w:r w:rsidR="003D2306" w:rsidRPr="00C16AB6">
        <w:rPr>
          <w:rStyle w:val="Zhlavie4"/>
          <w:rFonts w:ascii="Arial" w:hAnsi="Arial" w:cs="Arial"/>
          <w:b w:val="0"/>
          <w:sz w:val="20"/>
        </w:rPr>
        <w:t xml:space="preserve">part </w:t>
      </w:r>
      <w:proofErr w:type="spellStart"/>
      <w:r w:rsidR="003D2306" w:rsidRPr="00C16AB6">
        <w:rPr>
          <w:rStyle w:val="Zhlavie4"/>
          <w:rFonts w:ascii="Arial" w:hAnsi="Arial" w:cs="Arial"/>
          <w:b w:val="0"/>
          <w:sz w:val="20"/>
        </w:rPr>
        <w:t>number</w:t>
      </w:r>
      <w:proofErr w:type="spellEnd"/>
      <w:r w:rsidR="003D2306" w:rsidRPr="00C16AB6">
        <w:rPr>
          <w:rStyle w:val="Zhlavie4"/>
          <w:rFonts w:ascii="Arial" w:hAnsi="Arial" w:cs="Arial"/>
          <w:b w:val="0"/>
          <w:sz w:val="20"/>
        </w:rPr>
        <w:t xml:space="preserve">, resp. </w:t>
      </w:r>
      <w:proofErr w:type="spellStart"/>
      <w:r w:rsidR="003D2306" w:rsidRPr="00C16AB6">
        <w:rPr>
          <w:rStyle w:val="Zhlavie4"/>
          <w:rFonts w:ascii="Arial" w:hAnsi="Arial" w:cs="Arial"/>
          <w:b w:val="0"/>
          <w:sz w:val="20"/>
        </w:rPr>
        <w:t>product</w:t>
      </w:r>
      <w:proofErr w:type="spellEnd"/>
      <w:r w:rsidR="003D2306" w:rsidRPr="00C16AB6">
        <w:rPr>
          <w:rStyle w:val="Zhlavie4"/>
          <w:rFonts w:ascii="Arial" w:hAnsi="Arial" w:cs="Arial"/>
          <w:b w:val="0"/>
          <w:sz w:val="20"/>
        </w:rPr>
        <w:t xml:space="preserve"> </w:t>
      </w:r>
      <w:proofErr w:type="spellStart"/>
      <w:r w:rsidR="003D2306" w:rsidRPr="00C16AB6">
        <w:rPr>
          <w:rStyle w:val="Zhlavie4"/>
          <w:rFonts w:ascii="Arial" w:hAnsi="Arial" w:cs="Arial"/>
          <w:b w:val="0"/>
          <w:sz w:val="20"/>
        </w:rPr>
        <w:t>code</w:t>
      </w:r>
      <w:proofErr w:type="spellEnd"/>
      <w:r w:rsidR="006E320D" w:rsidRPr="00C16AB6">
        <w:rPr>
          <w:rStyle w:val="Zhlavie4"/>
          <w:rFonts w:ascii="Arial" w:hAnsi="Arial" w:cs="Arial"/>
          <w:b w:val="0"/>
          <w:bCs/>
          <w:sz w:val="20"/>
        </w:rPr>
        <w:t xml:space="preserve">, </w:t>
      </w:r>
    </w:p>
    <w:p w14:paraId="274CCC71" w14:textId="77777777" w:rsidR="006E320D" w:rsidRPr="00C16AB6" w:rsidRDefault="006E320D" w:rsidP="00247EC3">
      <w:pPr>
        <w:numPr>
          <w:ilvl w:val="0"/>
          <w:numId w:val="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sz w:val="20"/>
        </w:rPr>
      </w:pPr>
      <w:r w:rsidRPr="00C16AB6">
        <w:rPr>
          <w:rStyle w:val="Zhlavie4"/>
          <w:rFonts w:ascii="Arial" w:hAnsi="Arial" w:cs="Arial"/>
          <w:b w:val="0"/>
          <w:sz w:val="20"/>
        </w:rPr>
        <w:t xml:space="preserve">pripojí detailnú technickú konfiguráciu s jednoznačným označením komponentov podľa výrobcu (part </w:t>
      </w:r>
      <w:proofErr w:type="spellStart"/>
      <w:r w:rsidRPr="00C16AB6">
        <w:rPr>
          <w:rStyle w:val="Zhlavie4"/>
          <w:rFonts w:ascii="Arial" w:hAnsi="Arial" w:cs="Arial"/>
          <w:b w:val="0"/>
          <w:sz w:val="20"/>
        </w:rPr>
        <w:t>number</w:t>
      </w:r>
      <w:proofErr w:type="spellEnd"/>
      <w:r w:rsidRPr="00C16AB6">
        <w:rPr>
          <w:rStyle w:val="Zhlavie4"/>
          <w:rFonts w:ascii="Arial" w:hAnsi="Arial" w:cs="Arial"/>
          <w:b w:val="0"/>
          <w:sz w:val="20"/>
        </w:rPr>
        <w:t xml:space="preserve">, </w:t>
      </w:r>
      <w:proofErr w:type="spellStart"/>
      <w:r w:rsidRPr="00C16AB6">
        <w:rPr>
          <w:rStyle w:val="Zhlavie4"/>
          <w:rFonts w:ascii="Arial" w:hAnsi="Arial" w:cs="Arial"/>
          <w:b w:val="0"/>
          <w:sz w:val="20"/>
        </w:rPr>
        <w:t>product</w:t>
      </w:r>
      <w:proofErr w:type="spellEnd"/>
      <w:r w:rsidRPr="00C16AB6">
        <w:rPr>
          <w:rStyle w:val="Zhlavie4"/>
          <w:rFonts w:ascii="Arial" w:hAnsi="Arial" w:cs="Arial"/>
          <w:b w:val="0"/>
          <w:sz w:val="20"/>
        </w:rPr>
        <w:t xml:space="preserve"> </w:t>
      </w:r>
      <w:proofErr w:type="spellStart"/>
      <w:r w:rsidRPr="00C16AB6">
        <w:rPr>
          <w:rStyle w:val="Zhlavie4"/>
          <w:rFonts w:ascii="Arial" w:hAnsi="Arial" w:cs="Arial"/>
          <w:b w:val="0"/>
          <w:sz w:val="20"/>
        </w:rPr>
        <w:t>code</w:t>
      </w:r>
      <w:proofErr w:type="spellEnd"/>
      <w:r w:rsidRPr="00C16AB6">
        <w:rPr>
          <w:rStyle w:val="Zhlavie4"/>
          <w:rFonts w:ascii="Arial" w:hAnsi="Arial" w:cs="Arial"/>
          <w:b w:val="0"/>
          <w:sz w:val="20"/>
        </w:rPr>
        <w:t xml:space="preserve"> a pod...), </w:t>
      </w:r>
    </w:p>
    <w:p w14:paraId="23747C5F" w14:textId="77777777" w:rsidR="00DE700E" w:rsidRDefault="006E320D" w:rsidP="00DE700E">
      <w:pPr>
        <w:numPr>
          <w:ilvl w:val="0"/>
          <w:numId w:val="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sz w:val="20"/>
        </w:rPr>
      </w:pPr>
      <w:r w:rsidRPr="00C16AB6">
        <w:rPr>
          <w:rStyle w:val="Zhlavie4"/>
          <w:rFonts w:ascii="Arial" w:hAnsi="Arial" w:cs="Arial"/>
          <w:b w:val="0"/>
          <w:sz w:val="20"/>
        </w:rPr>
        <w:t xml:space="preserve">pripojí priamy </w:t>
      </w:r>
      <w:proofErr w:type="spellStart"/>
      <w:r w:rsidRPr="00C16AB6">
        <w:rPr>
          <w:rStyle w:val="Zhlavie4"/>
          <w:rFonts w:ascii="Arial" w:hAnsi="Arial" w:cs="Arial"/>
          <w:b w:val="0"/>
          <w:sz w:val="20"/>
        </w:rPr>
        <w:t>weblink</w:t>
      </w:r>
      <w:proofErr w:type="spellEnd"/>
      <w:r w:rsidRPr="00C16AB6">
        <w:rPr>
          <w:rStyle w:val="Zhlavie4"/>
          <w:rFonts w:ascii="Arial" w:hAnsi="Arial" w:cs="Arial"/>
          <w:b w:val="0"/>
          <w:sz w:val="20"/>
        </w:rPr>
        <w:t xml:space="preserve"> na internetovú stránku výrobcu s daným produktom pre možnú verifikáciu (kontrolu) popisu ponúkaného produktu (riešenia) s požiadavkou </w:t>
      </w:r>
      <w:r w:rsidR="00C21EAB" w:rsidRPr="00C16AB6">
        <w:rPr>
          <w:rStyle w:val="Zhlavie4"/>
          <w:rFonts w:ascii="Arial" w:hAnsi="Arial" w:cs="Arial"/>
          <w:b w:val="0"/>
          <w:sz w:val="20"/>
        </w:rPr>
        <w:t xml:space="preserve">verejného </w:t>
      </w:r>
      <w:r w:rsidR="00DE700E">
        <w:rPr>
          <w:rStyle w:val="Zhlavie4"/>
          <w:rFonts w:ascii="Arial" w:hAnsi="Arial" w:cs="Arial"/>
          <w:b w:val="0"/>
          <w:sz w:val="20"/>
        </w:rPr>
        <w:t>obstarávateľa.</w:t>
      </w:r>
    </w:p>
    <w:p w14:paraId="38127846" w14:textId="6BB94DCC" w:rsidR="007E19C5" w:rsidRPr="00DE700E" w:rsidRDefault="00DE700E" w:rsidP="001F3B2D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color w:val="FF0000"/>
          <w:sz w:val="20"/>
          <w:shd w:val="clear" w:color="auto" w:fill="FFFFFF"/>
        </w:rPr>
      </w:pPr>
      <w:r w:rsidRPr="00DE700E">
        <w:rPr>
          <w:rStyle w:val="Zhlavie4"/>
          <w:rFonts w:ascii="Arial" w:hAnsi="Arial" w:cs="Arial"/>
          <w:b w:val="0"/>
          <w:color w:val="FF0000"/>
          <w:sz w:val="20"/>
        </w:rPr>
        <w:t xml:space="preserve">Verejný obstarávateľ upozorňuje uchádzačov, aby uchádzači uviedli parameter/vlastnosť ponúkaného tovaru </w:t>
      </w:r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na každú požiadavku verejného obstarávateľa</w:t>
      </w:r>
      <w:r w:rsidRPr="00DE700E">
        <w:rPr>
          <w:rStyle w:val="Zhlavie4"/>
          <w:rFonts w:ascii="Arial" w:hAnsi="Arial" w:cs="Arial"/>
          <w:b w:val="0"/>
          <w:color w:val="FF0000"/>
          <w:sz w:val="20"/>
        </w:rPr>
        <w:t>, resp. každú časť jednotlivých požiadaviek.</w:t>
      </w:r>
      <w:r w:rsidR="007E19C5" w:rsidRPr="00DE700E">
        <w:rPr>
          <w:rFonts w:ascii="Arial" w:hAnsi="Arial" w:cs="Arial"/>
          <w:vanish/>
          <w:color w:val="FF0000"/>
          <w:lang w:eastAsia="sk-SK"/>
        </w:rPr>
        <w:cr/>
        <w:t>ode nie požiadaviek verejného obstaráavtzeľa na predmet zákazky určené v é</w:t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  <w:r w:rsidR="007E19C5" w:rsidRPr="00DE700E">
        <w:rPr>
          <w:rFonts w:ascii="Arial" w:hAnsi="Arial" w:cs="Arial"/>
          <w:vanish/>
          <w:color w:val="FF0000"/>
          <w:lang w:eastAsia="sk-SK"/>
        </w:rPr>
        <w:pgNum/>
      </w:r>
    </w:p>
    <w:p w14:paraId="57B9FDDF" w14:textId="0A7B9A07" w:rsidR="001C25D5" w:rsidRDefault="0015089A" w:rsidP="00DE700E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br w:type="page"/>
      </w:r>
    </w:p>
    <w:p w14:paraId="6EF8AEBE" w14:textId="77777777" w:rsidR="003602F5" w:rsidRPr="00040E4A" w:rsidRDefault="003602F5" w:rsidP="003602F5">
      <w:pPr>
        <w:ind w:left="100" w:right="113"/>
        <w:jc w:val="both"/>
        <w:rPr>
          <w:rFonts w:ascii="Calibri" w:eastAsia="Calibri" w:hAnsi="Calibri" w:cs="Calibri"/>
          <w:sz w:val="18"/>
          <w:szCs w:val="18"/>
          <w:u w:val="single"/>
        </w:rPr>
      </w:pPr>
      <w:r w:rsidRPr="00040E4A">
        <w:rPr>
          <w:rFonts w:ascii="Calibri" w:eastAsia="Calibri" w:hAnsi="Calibri" w:cs="Calibri"/>
          <w:sz w:val="18"/>
          <w:szCs w:val="18"/>
          <w:u w:val="single"/>
        </w:rPr>
        <w:lastRenderedPageBreak/>
        <w:t>Upozornenie:</w:t>
      </w:r>
    </w:p>
    <w:p w14:paraId="5554AB54" w14:textId="791FA5B8" w:rsidR="003602F5" w:rsidRDefault="003602F5" w:rsidP="003602F5">
      <w:pPr>
        <w:ind w:left="100" w:right="113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040E4A">
        <w:rPr>
          <w:rFonts w:ascii="Calibri" w:eastAsia="Calibri" w:hAnsi="Calibri" w:cs="Calibri"/>
          <w:i/>
          <w:iCs/>
          <w:sz w:val="18"/>
          <w:szCs w:val="18"/>
        </w:rPr>
        <w:t>Pre všetky prípadné požiadavky verejného obstarávateľa,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ekvivalentné, pričom za ekvivalentnosť iných produktov ako uvádzaných v opise predmet</w:t>
      </w:r>
      <w:r>
        <w:rPr>
          <w:rFonts w:ascii="Calibri" w:eastAsia="Calibri" w:hAnsi="Calibri" w:cs="Calibri"/>
          <w:i/>
          <w:iCs/>
          <w:sz w:val="18"/>
          <w:szCs w:val="18"/>
        </w:rPr>
        <w:t>u</w:t>
      </w:r>
      <w:r w:rsidRPr="00040E4A">
        <w:rPr>
          <w:rFonts w:ascii="Calibri" w:eastAsia="Calibri" w:hAnsi="Calibri" w:cs="Calibri"/>
          <w:i/>
          <w:iCs/>
          <w:sz w:val="18"/>
          <w:szCs w:val="18"/>
        </w:rPr>
        <w:t xml:space="preserve"> zákazky preberá zodpovednosť uchádzač. V prípade konkrétnych technických a výrobných označení materiálov a zariadení takto špecifikovaných v</w:t>
      </w:r>
      <w:r>
        <w:rPr>
          <w:rFonts w:ascii="Calibri" w:eastAsia="Calibri" w:hAnsi="Calibri" w:cs="Calibri"/>
          <w:i/>
          <w:iCs/>
          <w:sz w:val="18"/>
          <w:szCs w:val="18"/>
        </w:rPr>
        <w:t> tomto opise predmetu zákazky</w:t>
      </w:r>
      <w:r w:rsidRPr="00040E4A">
        <w:rPr>
          <w:rFonts w:ascii="Calibri" w:eastAsia="Calibri" w:hAnsi="Calibri" w:cs="Calibri"/>
          <w:i/>
          <w:iCs/>
          <w:sz w:val="18"/>
          <w:szCs w:val="18"/>
        </w:rPr>
        <w:t xml:space="preserve"> výlučne z dôvodu jednoznačného vyjadrenia požiadaviek a funkčných súvislostí, môže </w:t>
      </w:r>
      <w:r>
        <w:rPr>
          <w:rFonts w:ascii="Calibri" w:eastAsia="Calibri" w:hAnsi="Calibri" w:cs="Calibri"/>
          <w:i/>
          <w:iCs/>
          <w:sz w:val="18"/>
          <w:szCs w:val="18"/>
        </w:rPr>
        <w:t>hospodársky subjekt</w:t>
      </w:r>
      <w:r w:rsidRPr="00040E4A">
        <w:rPr>
          <w:rFonts w:ascii="Calibri" w:eastAsia="Calibri" w:hAnsi="Calibri" w:cs="Calibri"/>
          <w:i/>
          <w:iCs/>
          <w:sz w:val="18"/>
          <w:szCs w:val="18"/>
        </w:rPr>
        <w:t xml:space="preserve"> v súlade s § 42 ods. 3 zákona o verejnom obstarávaní predložiť ponuku i na technický a funkčný ekvivalent</w:t>
      </w:r>
      <w:r>
        <w:rPr>
          <w:rFonts w:ascii="Calibri" w:eastAsia="Calibri" w:hAnsi="Calibri" w:cs="Calibri"/>
          <w:i/>
          <w:iCs/>
          <w:sz w:val="18"/>
          <w:szCs w:val="18"/>
        </w:rPr>
        <w:t>,</w:t>
      </w:r>
      <w:r w:rsidRPr="005A3A50">
        <w:t xml:space="preserve"> </w:t>
      </w:r>
      <w:r w:rsidRPr="005A3A50">
        <w:rPr>
          <w:rFonts w:ascii="Calibri" w:eastAsia="Calibri" w:hAnsi="Calibri" w:cs="Calibri"/>
          <w:i/>
          <w:iCs/>
          <w:sz w:val="18"/>
          <w:szCs w:val="18"/>
        </w:rPr>
        <w:t xml:space="preserve">rešpektujúc plnú funkčnosť, nezmenené vlastnosti a poskytnutie požadovanej </w:t>
      </w:r>
      <w:r>
        <w:rPr>
          <w:rFonts w:ascii="Calibri" w:eastAsia="Calibri" w:hAnsi="Calibri" w:cs="Calibri"/>
          <w:i/>
          <w:iCs/>
          <w:sz w:val="18"/>
          <w:szCs w:val="18"/>
        </w:rPr>
        <w:t>servisnej</w:t>
      </w:r>
      <w:r w:rsidRPr="005A3A50">
        <w:rPr>
          <w:rFonts w:ascii="Calibri" w:eastAsia="Calibri" w:hAnsi="Calibri" w:cs="Calibri"/>
          <w:i/>
          <w:iCs/>
          <w:sz w:val="18"/>
          <w:szCs w:val="18"/>
        </w:rPr>
        <w:t xml:space="preserve"> podpory</w:t>
      </w:r>
      <w:r w:rsidRPr="00040E4A">
        <w:rPr>
          <w:rFonts w:ascii="Calibri" w:eastAsia="Calibri" w:hAnsi="Calibri" w:cs="Calibri"/>
          <w:i/>
          <w:iCs/>
          <w:sz w:val="18"/>
          <w:szCs w:val="18"/>
        </w:rPr>
        <w:t>.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Pr="00040E4A">
        <w:rPr>
          <w:rFonts w:ascii="Calibri" w:eastAsia="Calibri" w:hAnsi="Calibri" w:cs="Calibri"/>
          <w:i/>
          <w:iCs/>
          <w:sz w:val="18"/>
          <w:szCs w:val="18"/>
        </w:rPr>
        <w:t xml:space="preserve">Verejný obstarávateľ bude za ekvivalentné považovať produkty zabezpečujúce plnú kompatibilitu a </w:t>
      </w:r>
      <w:proofErr w:type="spellStart"/>
      <w:r w:rsidRPr="00040E4A">
        <w:rPr>
          <w:rFonts w:ascii="Calibri" w:eastAsia="Calibri" w:hAnsi="Calibri" w:cs="Calibri"/>
          <w:i/>
          <w:iCs/>
          <w:sz w:val="18"/>
          <w:szCs w:val="18"/>
        </w:rPr>
        <w:t>interoperabilitu</w:t>
      </w:r>
      <w:proofErr w:type="spellEnd"/>
      <w:r w:rsidRPr="00040E4A">
        <w:rPr>
          <w:rFonts w:ascii="Calibri" w:eastAsia="Calibri" w:hAnsi="Calibri" w:cs="Calibri"/>
          <w:i/>
          <w:iCs/>
          <w:sz w:val="18"/>
          <w:szCs w:val="18"/>
        </w:rPr>
        <w:t xml:space="preserve"> s existujúcim HW/SW prostredím bez dopadu na jeho budúcu prevádzku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(predovšetkým, avšak nie len jeho plynulosť, spoľahlivosť a nákladovosť)</w:t>
      </w:r>
      <w:r w:rsidRPr="00040E4A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2C3D9C8B" w14:textId="00583B8C" w:rsidR="003602F5" w:rsidRDefault="003602F5" w:rsidP="003602F5">
      <w:pPr>
        <w:ind w:left="100" w:right="113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040E4A">
        <w:rPr>
          <w:rFonts w:ascii="Calibri" w:eastAsia="Calibri" w:hAnsi="Calibri" w:cs="Calibri"/>
          <w:i/>
          <w:iCs/>
          <w:sz w:val="18"/>
          <w:szCs w:val="18"/>
        </w:rPr>
        <w:t>Ak sa úspešným uchádzačom stane uchádzač ponúkajúci ekvivalentné produkty a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Pr="00040E4A">
        <w:rPr>
          <w:rFonts w:ascii="Calibri" w:eastAsia="Calibri" w:hAnsi="Calibri" w:cs="Calibri"/>
          <w:i/>
          <w:iCs/>
          <w:sz w:val="18"/>
          <w:szCs w:val="18"/>
        </w:rPr>
        <w:t xml:space="preserve">počas plnenia zmluvy 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sa </w:t>
      </w:r>
      <w:r w:rsidRPr="00040E4A">
        <w:rPr>
          <w:rFonts w:ascii="Calibri" w:eastAsia="Calibri" w:hAnsi="Calibri" w:cs="Calibri"/>
          <w:i/>
          <w:iCs/>
          <w:sz w:val="18"/>
          <w:szCs w:val="18"/>
        </w:rPr>
        <w:t xml:space="preserve">preukáže, že úspešným uchádzačom dodané ekvivalentné produkty nezabezpečia plnú kompatibilitu a </w:t>
      </w:r>
      <w:proofErr w:type="spellStart"/>
      <w:r w:rsidRPr="00040E4A">
        <w:rPr>
          <w:rFonts w:ascii="Calibri" w:eastAsia="Calibri" w:hAnsi="Calibri" w:cs="Calibri"/>
          <w:i/>
          <w:iCs/>
          <w:sz w:val="18"/>
          <w:szCs w:val="18"/>
        </w:rPr>
        <w:t>interoperabilitu</w:t>
      </w:r>
      <w:proofErr w:type="spellEnd"/>
      <w:r w:rsidRPr="00040E4A">
        <w:rPr>
          <w:rFonts w:ascii="Calibri" w:eastAsia="Calibri" w:hAnsi="Calibri" w:cs="Calibri"/>
          <w:i/>
          <w:iCs/>
          <w:sz w:val="18"/>
          <w:szCs w:val="18"/>
        </w:rPr>
        <w:t xml:space="preserve"> alebo dodané produkty spôsobia výpadky 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a/alebo iné technické problémy </w:t>
      </w:r>
      <w:r w:rsidRPr="00040E4A">
        <w:rPr>
          <w:rFonts w:ascii="Calibri" w:eastAsia="Calibri" w:hAnsi="Calibri" w:cs="Calibri"/>
          <w:i/>
          <w:iCs/>
          <w:sz w:val="18"/>
          <w:szCs w:val="18"/>
        </w:rPr>
        <w:t>počas alebo v dôsledku upgradu ekvivalentnými produktmi, bude to verejný obstarávateľ považovať za podstatné porušenie zmluvy a verejný obstarávateľ si bude uplatňovať aj súvisiace škody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u takéhoto úspešného uchádzača.</w:t>
      </w:r>
    </w:p>
    <w:p w14:paraId="703E504B" w14:textId="77777777" w:rsidR="003602F5" w:rsidRPr="00C16AB6" w:rsidRDefault="003602F5" w:rsidP="00DE700E">
      <w:pPr>
        <w:rPr>
          <w:rFonts w:ascii="Arial" w:hAnsi="Arial" w:cs="Arial"/>
          <w:b/>
        </w:rPr>
        <w:sectPr w:rsidR="003602F5" w:rsidRPr="00C16AB6" w:rsidSect="000C696D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52B20B" w14:textId="4207719B" w:rsidR="006C707C" w:rsidRDefault="00256789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lastRenderedPageBreak/>
        <w:t>1.</w:t>
      </w:r>
      <w:r w:rsidRPr="00C16AB6">
        <w:rPr>
          <w:rFonts w:ascii="Arial" w:hAnsi="Arial" w:cs="Arial"/>
          <w:b/>
        </w:rPr>
        <w:tab/>
        <w:t xml:space="preserve">Požiadavky na Serverovú infraštruktúru - </w:t>
      </w:r>
      <w:r w:rsidR="006C707C" w:rsidRPr="00C16AB6">
        <w:rPr>
          <w:rFonts w:ascii="Arial" w:hAnsi="Arial" w:cs="Arial"/>
          <w:b/>
        </w:rPr>
        <w:t>Server Typ 1:</w:t>
      </w:r>
    </w:p>
    <w:p w14:paraId="4E0C91DC" w14:textId="3334C567" w:rsidR="00D77FE0" w:rsidRPr="00D77FE0" w:rsidRDefault="00D77FE0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</w:p>
    <w:tbl>
      <w:tblPr>
        <w:tblW w:w="140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85"/>
        <w:gridCol w:w="4962"/>
      </w:tblGrid>
      <w:tr w:rsidR="00DE700E" w:rsidRPr="00C16AB6" w14:paraId="6923FC74" w14:textId="184A3CA1" w:rsidTr="00DE700E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E60A7C9" w14:textId="17A76E42" w:rsidR="00DE700E" w:rsidRPr="00C16AB6" w:rsidRDefault="00DE700E" w:rsidP="0015089A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eastAsia="ja-JP"/>
              </w:rPr>
            </w:pPr>
            <w:bookmarkStart w:id="1" w:name="_Hlk159752297"/>
            <w:r w:rsidRPr="00C16AB6">
              <w:rPr>
                <w:rFonts w:ascii="Arial" w:hAnsi="Arial" w:cs="Arial"/>
                <w:b/>
                <w:sz w:val="18"/>
                <w:szCs w:val="16"/>
              </w:rPr>
              <w:t>Parameter :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D11A642" w14:textId="3DB0A21A" w:rsidR="00DE700E" w:rsidRPr="00C16AB6" w:rsidRDefault="00DE700E" w:rsidP="0015089A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eastAsia="ja-JP"/>
              </w:rPr>
            </w:pPr>
            <w:r w:rsidRPr="00C16AB6">
              <w:rPr>
                <w:rFonts w:ascii="Arial" w:hAnsi="Arial" w:cs="Arial"/>
                <w:b/>
                <w:sz w:val="18"/>
                <w:szCs w:val="16"/>
              </w:rPr>
              <w:t>Minimálne požadované parametre 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304A728" w14:textId="145BB3EB" w:rsidR="00DE700E" w:rsidRPr="00DE700E" w:rsidRDefault="00DE700E" w:rsidP="00150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DE700E" w:rsidRPr="00C16AB6" w14:paraId="6FD97337" w14:textId="77777777" w:rsidTr="00DE700E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64D8" w14:textId="77777777" w:rsidR="00DE700E" w:rsidRPr="00C16AB6" w:rsidRDefault="00DE700E" w:rsidP="0015089A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Server Typ 1  </w:t>
            </w:r>
            <w:r w:rsidRPr="00C16AB6">
              <w:rPr>
                <w:rFonts w:ascii="Arial" w:hAnsi="Arial" w:cs="Arial"/>
                <w:bCs/>
                <w:i/>
                <w:sz w:val="18"/>
                <w:szCs w:val="20"/>
              </w:rPr>
              <w:t>požiadavka uviesť</w:t>
            </w:r>
            <w:r w:rsidRPr="00C16AB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</w:t>
            </w:r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 xml:space="preserve">detailnú technickú konfiguráciu s jednoznačným označením komponentov podľa výrobcu </w:t>
            </w:r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br/>
              <w:t xml:space="preserve">(Part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>Number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 xml:space="preserve">,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>Product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>Code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16917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4B92CDD2" w14:textId="148D9A5C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DD1D" w14:textId="01D47871" w:rsidR="00DE700E" w:rsidRPr="00C16AB6" w:rsidRDefault="00DE700E" w:rsidP="00501803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Procesor (CPU)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75563" w14:textId="43BD6AEE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model servera pri osadení dvomi procesormi typu x86 musí byť schopný dosiahnuť výkon minimálne 666 bodov podľa testu SPECrate®2017_int_base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result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235694AF" w14:textId="65D48B09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celkový počet jadier jedného procesora nesmie presiahnuť 32 z dôvodu licenčných obmedzení.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7659C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3C4A1CB3" w14:textId="77777777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6D870" w14:textId="77777777" w:rsidR="00DE700E" w:rsidRPr="00C16AB6" w:rsidRDefault="00DE700E" w:rsidP="00501803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Počet/max. počet CPU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A0480" w14:textId="77777777" w:rsidR="00DE700E" w:rsidRPr="00C16AB6" w:rsidRDefault="00DE700E" w:rsidP="00501803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2/2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47003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668C26B7" w14:textId="74B1CF43" w:rsidTr="00DE700E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EDFBB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Pamäť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F1688" w14:textId="3E16FBA2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požadovaná kapacita 512 GB (8x 64GB), DDR4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Registered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min. 4800MHz, </w:t>
            </w:r>
          </w:p>
          <w:p w14:paraId="3C09FF19" w14:textId="7AE1D005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rozšíriteľnosť pamäte pri zachovaní rovnakých modulov je rozšíriteľná na maximálnu veľkosť 2TB.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2304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22308542" w14:textId="30713D07" w:rsidTr="00DE700E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BF3B8" w14:textId="71DB8E4E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6"/>
              </w:rPr>
              <w:t>Škálovateľnosť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</w:rPr>
              <w:t xml:space="preserve"> pamäte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A8AA" w14:textId="4518AF8C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do 8TB pri využití 256GB modulov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EF097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33E21DD4" w14:textId="20A0896E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2302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6"/>
              </w:rPr>
              <w:t>Ethernet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</w:rPr>
              <w:t xml:space="preserve"> adaptér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9E7A2" w14:textId="1F8E0B5C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minimálne 1x duálne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portový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40/100/200Gb/s konvergovaný adaptér podporujúci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Ethernet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, FC a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FCoE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, zabezpečujúci redundantné a vysoko priepustné pripojenie servera.  Vlastnosti konvergovaného adaptéra:</w:t>
            </w:r>
          </w:p>
          <w:p w14:paraId="74B587D5" w14:textId="4AE3B0CE" w:rsidR="00DE700E" w:rsidRPr="00C16AB6" w:rsidRDefault="00DE700E" w:rsidP="00501803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podpora Q-in-Q :</w:t>
            </w:r>
          </w:p>
          <w:p w14:paraId="752E89F8" w14:textId="1C02AAED" w:rsidR="00DE700E" w:rsidRPr="00C16AB6" w:rsidRDefault="00DE700E" w:rsidP="00501803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jedna vrstva (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layer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) VLAN musí byť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enkapsulovaná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do ďalšej vrstvy,</w:t>
            </w:r>
          </w:p>
          <w:p w14:paraId="001490CD" w14:textId="70C61E6C" w:rsidR="00DE700E" w:rsidRPr="00C16AB6" w:rsidRDefault="00DE700E" w:rsidP="00501803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Multi-network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,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multi-latency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BF8E34F" w14:textId="7B8A150F" w:rsidR="00DE700E" w:rsidRPr="00C16AB6" w:rsidRDefault="00DE700E" w:rsidP="00501803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Traffic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Segregation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, </w:t>
            </w:r>
          </w:p>
          <w:p w14:paraId="44B6E20F" w14:textId="7B56DC27" w:rsidR="00DE700E" w:rsidRPr="00C16AB6" w:rsidRDefault="00DE700E" w:rsidP="00501803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podpora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Network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adapter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secure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boot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(nezamieňať Server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Secure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Boot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),</w:t>
            </w:r>
          </w:p>
          <w:p w14:paraId="3428E0A1" w14:textId="50D622B9" w:rsidR="00DE700E" w:rsidRPr="00C16AB6" w:rsidRDefault="00DE700E" w:rsidP="00501803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možnosť nastavenia adaptéra prostredníctvom  politík cez softvér centrálnej správy infraštruktúry,</w:t>
            </w:r>
          </w:p>
          <w:p w14:paraId="00F9A526" w14:textId="38FA3C57" w:rsidR="00DE700E" w:rsidRPr="00C16AB6" w:rsidRDefault="00DE700E" w:rsidP="00501803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podpora vytvorenia až 512 virtuálnych sieťových adaptérov s možnosťou výberu medzi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Ethernet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vNIC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alebo FC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vHBA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</w:p>
          <w:p w14:paraId="4B69C61D" w14:textId="41FEE4E1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minimálne 1x 1Gb/s port na nezávislé pripojenie od operačného systému.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4F9C2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7054AC5E" w14:textId="24AE6C2F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C287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Diskový radič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8B10" w14:textId="043C0CCD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hardvérový diskový radič s podporou min. RAID 1 s rozhraním M.2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8FF58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0FB5BB35" w14:textId="06E8BC9F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7DE4" w14:textId="65B9E4D6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lastRenderedPageBreak/>
              <w:t>Subsystém pevných diskov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962F1" w14:textId="100954A1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minimálne 2x 240GB typu SSD s rozhraním M.2 </w:t>
            </w:r>
          </w:p>
          <w:p w14:paraId="7F9B9BD2" w14:textId="33470971" w:rsidR="00DE700E" w:rsidRPr="00C16AB6" w:rsidRDefault="00DE700E" w:rsidP="00C21EAB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minimálne 4x 7.6TB typu rozhrania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NVMe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s čipom P5520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8D796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5C719589" w14:textId="67935554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2711" w14:textId="3401AC48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6"/>
              </w:rPr>
              <w:t>Škálovateľnosť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</w:rPr>
              <w:t xml:space="preserve"> diskovej kapacity pre vybranú typovú radu serverov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9283" w14:textId="0CA19CFD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minimálne 28 diskov SFF pre jeden server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E6E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4ED199B3" w14:textId="41C22F8D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93BB" w14:textId="18D333CA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Konektor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3E9C" w14:textId="2F1045DE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minimálne jeden KVM konektor, ktorý poskytuje pripojenie 2x USB zariadenia, jedného VGA a jedného sériového zariadenia.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719E6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623B0D20" w14:textId="1299790E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23640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PCI sloty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8275E" w14:textId="20C12BC9" w:rsidR="00DE700E" w:rsidRPr="00C16AB6" w:rsidRDefault="00DE700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minimálne 1 voľný rozširujúci slot PCI-Express Gen4 x16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C22A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26CB7508" w14:textId="51B681F3" w:rsidTr="00DE700E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36583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 xml:space="preserve">Grafický adaptér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00BE" w14:textId="1E5512B8" w:rsidR="00DE700E" w:rsidRPr="00C16AB6" w:rsidRDefault="00DE700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integrovaný grafický adaptér na základnej doske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4260F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78857278" w14:textId="77777777" w:rsidTr="00DE700E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67BDE" w14:textId="1476649D" w:rsidR="00DE700E" w:rsidRPr="00C16AB6" w:rsidRDefault="00DE700E" w:rsidP="00C16AB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Napájacie zdroje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96FB" w14:textId="5524C338" w:rsidR="00DE700E" w:rsidRPr="00C16AB6" w:rsidRDefault="00DE700E" w:rsidP="00C16AB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redundancia: N+1</w:t>
            </w:r>
          </w:p>
          <w:p w14:paraId="596AD1AF" w14:textId="4069462E" w:rsidR="00DE700E" w:rsidRPr="00C16AB6" w:rsidRDefault="00DE700E" w:rsidP="00C16AB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minimálny výkon jedného zdroja 2300W pri 230V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F56E5" w14:textId="77777777" w:rsidR="00DE700E" w:rsidRPr="00C16AB6" w:rsidRDefault="00DE700E" w:rsidP="00C16AB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673EC844" w14:textId="71550508" w:rsidTr="00DE700E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57F0F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Bezpečnosť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C736" w14:textId="763C32EC" w:rsidR="00DE700E" w:rsidRPr="00C16AB6" w:rsidRDefault="00DE700E" w:rsidP="00501803">
            <w:pPr>
              <w:spacing w:after="1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Požiadavky navrhnuté tak, aby poskytovali vysoký stupeň bezpečnosti s nasledovnými vlastnosťami:</w:t>
            </w:r>
          </w:p>
          <w:p w14:paraId="0C9A2AF2" w14:textId="6B694F2D" w:rsidR="00DE700E" w:rsidRPr="00C16AB6" w:rsidRDefault="00DE700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Modul TPM 2.0,</w:t>
            </w:r>
          </w:p>
          <w:p w14:paraId="119288AF" w14:textId="420F6663" w:rsidR="00DE700E" w:rsidRPr="00C16AB6" w:rsidRDefault="00DE700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Podpora SPDM (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Security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Protocol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and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Data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Model),</w:t>
            </w:r>
          </w:p>
          <w:p w14:paraId="70F69B56" w14:textId="63D7B350" w:rsidR="00DE700E" w:rsidRPr="00C16AB6" w:rsidRDefault="00DE700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Podpora MCTP (Management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Component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Transport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Protocol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) over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PCIe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Vendor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Defined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Messaging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D9401DF" w14:textId="6506EB9D" w:rsidR="00DE700E" w:rsidRPr="00C16AB6" w:rsidRDefault="00DE700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Podpora BIOS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Scrub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Policies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8F84367" w14:textId="5589C0EC" w:rsidR="00DE700E" w:rsidRPr="00C16AB6" w:rsidRDefault="00DE700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Trust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anchor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module (TAM).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F0036" w14:textId="77777777" w:rsidR="00DE700E" w:rsidRPr="00C16AB6" w:rsidRDefault="00DE700E" w:rsidP="003530FD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sz w:val="18"/>
                <w:szCs w:val="16"/>
                <w:lang w:val="sk-SK"/>
              </w:rPr>
            </w:pPr>
          </w:p>
        </w:tc>
      </w:tr>
      <w:tr w:rsidR="00DE700E" w:rsidRPr="00C16AB6" w14:paraId="0B50821B" w14:textId="05A7FEA6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5D0A9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 xml:space="preserve">Správa a manažment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2DC2F" w14:textId="46B10FA3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hardvérový komponent nezávislý od operačného systému formou vzdialenej grafickej KVM konzoly,</w:t>
            </w:r>
          </w:p>
          <w:p w14:paraId="4575A30F" w14:textId="11B1C1ED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možnosť pripojenia vzdialených médií, napr. CD ROM, DVD ROM, ISO image, USB kľúč, FDD,  vzdialený adresár,</w:t>
            </w:r>
          </w:p>
          <w:p w14:paraId="4CFD41D4" w14:textId="20BB043D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možnosť štartu, reštartu a vypnutia servera cez sieť LAN, nezávisle od OS,</w:t>
            </w:r>
          </w:p>
          <w:p w14:paraId="2AD33184" w14:textId="69DB9E85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možnosť centrálne manažovať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firmware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031F6415" w14:textId="295D3FB1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možnosť centrálne manažovať ovládače OS, </w:t>
            </w:r>
          </w:p>
          <w:p w14:paraId="664F25E9" w14:textId="5FC7B1E7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možnosť automaticky registrovať servisné incidenty priamo u výrobcu,</w:t>
            </w:r>
          </w:p>
          <w:p w14:paraId="3B78B839" w14:textId="40CD582D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automatická obnova poškodeného / neautentického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firmware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servera,</w:t>
            </w:r>
          </w:p>
          <w:p w14:paraId="7D1E37D3" w14:textId="3974A209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server plne integrovaný so softvérom centrálnej správy serverovej infraštruktúry.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0D06B" w14:textId="77777777" w:rsidR="00DE700E" w:rsidRPr="00C16AB6" w:rsidRDefault="00DE700E" w:rsidP="003530FD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sz w:val="18"/>
                <w:szCs w:val="16"/>
                <w:lang w:val="sk-SK"/>
              </w:rPr>
            </w:pPr>
          </w:p>
        </w:tc>
      </w:tr>
      <w:tr w:rsidR="00DE700E" w:rsidRPr="00C16AB6" w14:paraId="6181D861" w14:textId="03A84F7F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C0161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Servisná podpora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E2B76" w14:textId="5EAFD027" w:rsidR="00DE700E" w:rsidRPr="00C16AB6" w:rsidRDefault="00DE700E" w:rsidP="00501803">
            <w:pPr>
              <w:spacing w:after="1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 xml:space="preserve">minimálne 3 roky </w:t>
            </w:r>
            <w:r w:rsidR="00245499" w:rsidRPr="00245499">
              <w:rPr>
                <w:rFonts w:ascii="Arial" w:hAnsi="Arial" w:cs="Arial"/>
                <w:sz w:val="18"/>
                <w:szCs w:val="16"/>
              </w:rPr>
              <w:t xml:space="preserve">odo dňa aktivovania servisnej podpory </w:t>
            </w:r>
            <w:bookmarkStart w:id="2" w:name="_GoBack"/>
            <w:bookmarkEnd w:id="2"/>
            <w:r w:rsidRPr="00C16AB6">
              <w:rPr>
                <w:rFonts w:ascii="Arial" w:hAnsi="Arial" w:cs="Arial"/>
                <w:sz w:val="18"/>
                <w:szCs w:val="16"/>
              </w:rPr>
              <w:t>s nasledujúcimi parametrami:</w:t>
            </w:r>
          </w:p>
          <w:p w14:paraId="2FC62922" w14:textId="561AE4CC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výmena zariadenia v prípade poruchy v režime 8x5xNBD na mieste,</w:t>
            </w:r>
          </w:p>
          <w:p w14:paraId="6024B9F8" w14:textId="75EC3C4F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pokazené dodané pevné disky musia zostávať vo vlastníctve verejného obstarávateľa,</w:t>
            </w:r>
          </w:p>
          <w:p w14:paraId="7BFF36E8" w14:textId="09A56984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lastRenderedPageBreak/>
              <w:t>centralizovaná podpora dodávaného riešenia, ktorého je produkt súčasťou s nasledujúcimi charakteristikami:</w:t>
            </w:r>
          </w:p>
          <w:p w14:paraId="08EA5DFE" w14:textId="3423E988" w:rsidR="00DE700E" w:rsidRPr="00C16AB6" w:rsidRDefault="00DE700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riešenie servisných prípadov na úrovni riešenia, nie len na úrovni podpory jednotlivých produktov.</w:t>
            </w:r>
          </w:p>
          <w:p w14:paraId="5315646C" w14:textId="77777777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podpora.</w:t>
            </w:r>
          </w:p>
          <w:p w14:paraId="7D92A5A5" w14:textId="6459B6B4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ware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eeam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ware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6E977AA9" w14:textId="2F55603B" w:rsidR="00DE700E" w:rsidRPr="00C16AB6" w:rsidRDefault="00DE700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požiadavka na možnosť otvorenia servisného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prípadu bez nutnosti robiť vlastnú diagnostiku problému.</w:t>
            </w:r>
          </w:p>
          <w:p w14:paraId="4449A5BF" w14:textId="2AFFE765" w:rsidR="00DE700E" w:rsidRPr="00C16AB6" w:rsidRDefault="00DE700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poskytovateľ podpory musí byť primárny bod kontaktu pre incidenty v riešení. </w:t>
            </w:r>
          </w:p>
          <w:p w14:paraId="58687012" w14:textId="218AA7DA" w:rsidR="00DE700E" w:rsidRPr="00C16AB6" w:rsidRDefault="00DE700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výrobcom. </w:t>
            </w:r>
          </w:p>
          <w:p w14:paraId="39A03AA8" w14:textId="06AECFC4" w:rsidR="00DE700E" w:rsidRPr="00C16AB6" w:rsidRDefault="00DE700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podpory. </w:t>
            </w:r>
          </w:p>
          <w:p w14:paraId="52F709E2" w14:textId="24AFFF27" w:rsidR="00DE700E" w:rsidRPr="00C16AB6" w:rsidRDefault="00DE700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požiadavka na prístup k</w:t>
            </w:r>
            <w:r>
              <w:rPr>
                <w:rFonts w:ascii="Arial" w:hAnsi="Arial" w:cs="Arial"/>
                <w:sz w:val="18"/>
                <w:szCs w:val="16"/>
                <w:lang w:val="sk-SK"/>
              </w:rPr>
              <w:t> 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webin</w:t>
            </w:r>
            <w:r>
              <w:rPr>
                <w:rFonts w:ascii="Arial" w:hAnsi="Arial" w:cs="Arial"/>
                <w:sz w:val="18"/>
                <w:szCs w:val="16"/>
                <w:lang w:val="sk-SK"/>
              </w:rPr>
              <w:t>á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rom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s odporúčanými postupmi pre nasadenie a prevádzkovanie podporovaných produktov. </w:t>
            </w:r>
          </w:p>
          <w:p w14:paraId="6A430E8C" w14:textId="1744A3C8" w:rsidR="00DE700E" w:rsidRPr="00C16AB6" w:rsidRDefault="00DE700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2991FCD5" w14:textId="557DB2B6" w:rsidR="00DE700E" w:rsidRPr="00C16AB6" w:rsidRDefault="00DE700E" w:rsidP="00501803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609D4767" w14:textId="523DD558" w:rsidR="00DE700E" w:rsidRPr="00C16AB6" w:rsidRDefault="00DE700E" w:rsidP="0037451E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hodín,</w:t>
            </w:r>
          </w:p>
          <w:p w14:paraId="3DEDA93A" w14:textId="38EEC4B8" w:rsidR="00DE700E" w:rsidRPr="00C16AB6" w:rsidRDefault="00DE700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supportných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E7E92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61E57514" w14:textId="77777777" w:rsidR="00A341DE" w:rsidRDefault="00A341DE">
      <w:r>
        <w:br w:type="page"/>
      </w:r>
    </w:p>
    <w:tbl>
      <w:tblPr>
        <w:tblW w:w="140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4957"/>
      </w:tblGrid>
      <w:tr w:rsidR="00DE700E" w:rsidRPr="00C16AB6" w14:paraId="5E95937B" w14:textId="404A9329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F7ED" w14:textId="572C848A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lastRenderedPageBreak/>
              <w:t>Prevedenie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0963" w14:textId="4D9E5ACB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19“ serverová skriňa, </w:t>
            </w:r>
          </w:p>
          <w:p w14:paraId="6FEACBB6" w14:textId="40BBD1BE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výška 2U, </w:t>
            </w:r>
          </w:p>
          <w:p w14:paraId="1C720E26" w14:textId="0DAB5164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súčasťou servera musia byť aj koľajnice na montáž do serverovej skrine spolu s ramenom na vedenie kabeláže, ktoré umožňuje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servisovanie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počas prevádzky Servera TYP 1.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C69EF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24FDF7C0" w14:textId="77777777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90113" w14:textId="75D0F310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Inštalácia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6285A4" w14:textId="005E2F77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súčasťou ponuky musí byť inštalačná služba zahrňujúca dopravu, montáž, inštaláciu a nastavenie dodaných zariadení prípadne softvérov pre preukázanie funkčnosti a prevádzkyschopnosti dodaného zariadenia. </w:t>
            </w:r>
          </w:p>
          <w:p w14:paraId="13F3D7EA" w14:textId="77777777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inštalačnú službu musí zabezpečovať certifikovaná osoba oprávnená zabezpečovať montáž, inštaláciu a nastavenie dodávaného Serveru Typ 1. </w:t>
            </w:r>
          </w:p>
          <w:p w14:paraId="69AAE568" w14:textId="3BC6A102" w:rsidR="00DE700E" w:rsidRPr="00C16AB6" w:rsidRDefault="00DE700E" w:rsidP="00DE700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uchádzač musí preukázať, že disponuje aktuálne platným certifikátom vydaný</w:t>
            </w:r>
            <w:r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výrobcom alebo producentom, resp. osobou, ktorá je oprávnená tento certifikát vydávať pre dodávaný Server Typ 1.</w:t>
            </w:r>
            <w:r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(Poznámka: predmetný certifikát tvorí prílohu č. 4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1D7AD5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1D0A1581" w14:textId="7978A7B9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C10F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bookmarkStart w:id="3" w:name="_Hlk61539231"/>
            <w:r w:rsidRPr="00C16AB6">
              <w:rPr>
                <w:rFonts w:ascii="Arial" w:hAnsi="Arial" w:cs="Arial"/>
                <w:sz w:val="18"/>
                <w:szCs w:val="16"/>
              </w:rPr>
              <w:t xml:space="preserve">Počet serverov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1B16" w14:textId="47CA6373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6 ks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C7635D" w14:textId="77777777" w:rsidR="00DE700E" w:rsidRPr="00C16AB6" w:rsidRDefault="00DE700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bookmarkEnd w:id="1"/>
      <w:bookmarkEnd w:id="3"/>
    </w:tbl>
    <w:p w14:paraId="2F222088" w14:textId="5E263F84" w:rsidR="00C43E4F" w:rsidRPr="00C16AB6" w:rsidRDefault="00C43E4F">
      <w:pPr>
        <w:rPr>
          <w:rFonts w:ascii="Arial" w:hAnsi="Arial" w:cs="Arial"/>
        </w:rPr>
      </w:pPr>
    </w:p>
    <w:p w14:paraId="1B5D8C8F" w14:textId="77777777" w:rsidR="0037451E" w:rsidRPr="00C16AB6" w:rsidRDefault="0037451E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br w:type="page"/>
      </w:r>
    </w:p>
    <w:p w14:paraId="0F458958" w14:textId="213F7AFA" w:rsidR="00256789" w:rsidRDefault="00256789" w:rsidP="00256789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lastRenderedPageBreak/>
        <w:t>2.</w:t>
      </w:r>
      <w:r w:rsidRPr="00C16AB6">
        <w:rPr>
          <w:rFonts w:ascii="Arial" w:hAnsi="Arial" w:cs="Arial"/>
          <w:b/>
        </w:rPr>
        <w:tab/>
        <w:t>Požiadavky na Serverovú infraštruktúru - Server Typ 2:</w:t>
      </w:r>
    </w:p>
    <w:p w14:paraId="402C7504" w14:textId="297E9EE0" w:rsidR="00D77FE0" w:rsidRPr="00D77FE0" w:rsidRDefault="00D77FE0" w:rsidP="00256789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Tabuľka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2</w:t>
      </w:r>
    </w:p>
    <w:tbl>
      <w:tblPr>
        <w:tblW w:w="140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85"/>
        <w:gridCol w:w="4962"/>
      </w:tblGrid>
      <w:tr w:rsidR="00DE700E" w:rsidRPr="00C16AB6" w14:paraId="39D4D010" w14:textId="1E77B647" w:rsidTr="00DE700E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4E2171D" w14:textId="56E04025" w:rsidR="00DE700E" w:rsidRPr="00C16AB6" w:rsidRDefault="00DE700E" w:rsidP="003530FD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C16AB6">
              <w:rPr>
                <w:rFonts w:ascii="Arial" w:hAnsi="Arial" w:cs="Arial"/>
                <w:b/>
                <w:sz w:val="18"/>
                <w:szCs w:val="18"/>
              </w:rPr>
              <w:t>Parameter :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09D9E76" w14:textId="354F5C34" w:rsidR="00DE700E" w:rsidRPr="00C16AB6" w:rsidRDefault="00DE700E" w:rsidP="003530F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C16AB6">
              <w:rPr>
                <w:rFonts w:ascii="Arial" w:hAnsi="Arial" w:cs="Arial"/>
                <w:b/>
                <w:sz w:val="18"/>
                <w:szCs w:val="18"/>
              </w:rPr>
              <w:t>Minimálne požadované parametre 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1988560" w14:textId="4F71EC0C" w:rsidR="00DE700E" w:rsidRPr="00C16AB6" w:rsidRDefault="00DE700E" w:rsidP="003530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DE700E" w:rsidRPr="00C16AB6" w14:paraId="2BD068A1" w14:textId="77777777" w:rsidTr="00DE700E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DF765" w14:textId="77777777" w:rsidR="00DE700E" w:rsidRPr="00C16AB6" w:rsidRDefault="00DE700E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Server Typ 2  </w:t>
            </w:r>
            <w:r w:rsidRPr="00C16AB6">
              <w:rPr>
                <w:rFonts w:ascii="Arial" w:hAnsi="Arial" w:cs="Arial"/>
                <w:bCs/>
                <w:i/>
                <w:sz w:val="18"/>
                <w:szCs w:val="18"/>
              </w:rPr>
              <w:t>požiadavka uviesť</w:t>
            </w:r>
            <w:r w:rsidRPr="00C16AB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detailnú technickú konfiguráciu s jednoznačným označením komponentov podľa výrobcu </w:t>
            </w:r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br/>
              <w:t xml:space="preserve">(Part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Number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Product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Code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DB186" w14:textId="77777777" w:rsidR="00DE700E" w:rsidRPr="00C16AB6" w:rsidRDefault="00DE700E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480AE8DC" w14:textId="0341ADF0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EBC52" w14:textId="3B676751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Procesor (CPU)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8C6A5" w14:textId="4C47A9C6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model servera pri osadení procesormi typu x86 musí byť schopný dosiahnuť výkon minimálne 666 bodov podľa testu SPECrate®2017_int_base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result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</w:p>
          <w:p w14:paraId="7D7336D1" w14:textId="521AAC98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celkový počet jadier jedného procesora nesmie presiahnuť 32 z dôvodu licenčných obmedzení.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A7F9F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214A018C" w14:textId="77777777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D6ED" w14:textId="77777777" w:rsidR="00DE700E" w:rsidRPr="00C16AB6" w:rsidRDefault="00DE700E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Počet/max. počet CPU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4F1D4" w14:textId="77777777" w:rsidR="00DE700E" w:rsidRPr="00C16AB6" w:rsidRDefault="00DE700E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2/2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34139" w14:textId="77777777" w:rsidR="00DE700E" w:rsidRPr="00C16AB6" w:rsidRDefault="00DE700E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5DD3245B" w14:textId="52BEA96A" w:rsidTr="00DE700E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4205A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Pamäť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937C1" w14:textId="0739B695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požadovaná kapacita 512 GB (8x 64GB), DDR4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Registered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min. 4800MHz, </w:t>
            </w:r>
          </w:p>
          <w:p w14:paraId="7EAA1421" w14:textId="635D52E1" w:rsidR="00DE700E" w:rsidRPr="00C16AB6" w:rsidRDefault="00DE700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rozšíriteľnosť pamäte pri zachovaní rovnakých modulov je rozšíriteľná na maximálnu veľkosť 2TB.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303F" w14:textId="77777777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0A451463" w14:textId="0C25CF42" w:rsidTr="00DE700E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FCFEA" w14:textId="6610BA92" w:rsidR="00DE700E" w:rsidRPr="00C16AB6" w:rsidRDefault="00DE700E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8"/>
              </w:rPr>
              <w:t>Škálovateľnosť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</w:rPr>
              <w:t xml:space="preserve"> pamäte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244A" w14:textId="513AA6B7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do 8TB pri využití 256GB modulov.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DFE2" w14:textId="77777777" w:rsidR="00DE700E" w:rsidRPr="00C16AB6" w:rsidRDefault="00DE700E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015A6C32" w14:textId="3475B0D4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6A655" w14:textId="77777777" w:rsidR="00DE700E" w:rsidRPr="00C16AB6" w:rsidRDefault="00DE700E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8"/>
              </w:rPr>
              <w:t>Ethernet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</w:rPr>
              <w:t xml:space="preserve"> adaptér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75D4" w14:textId="34B0741E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minimálne 1x duálne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portový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40/100/200Gb/s konvergovaný adaptér podporujúci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Ethernet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, FC a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FCoE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, zabezpečujúci redundantné a vysoko priepustné pripojenie servera. </w:t>
            </w:r>
          </w:p>
          <w:p w14:paraId="484C43CF" w14:textId="77777777" w:rsidR="00DE700E" w:rsidRPr="00C16AB6" w:rsidRDefault="00DE700E" w:rsidP="00AF5CD5">
            <w:pPr>
              <w:pStyle w:val="Odsekzoznamu"/>
              <w:spacing w:after="120" w:line="240" w:lineRule="auto"/>
              <w:ind w:left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Vlastnosti konvergovaného adaptéra:</w:t>
            </w:r>
          </w:p>
          <w:p w14:paraId="30D24433" w14:textId="0FA5C8B0" w:rsidR="00DE700E" w:rsidRPr="00C16AB6" w:rsidRDefault="00DE700E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podpora Q-in-Q,</w:t>
            </w:r>
          </w:p>
          <w:p w14:paraId="0D8F36DE" w14:textId="6610BF9B" w:rsidR="00DE700E" w:rsidRPr="00C16AB6" w:rsidRDefault="00DE700E" w:rsidP="00AF5CD5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jedna vrstva (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layer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) VLAN je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enkapsulovaná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do ďalšej vrstvy,</w:t>
            </w:r>
          </w:p>
          <w:p w14:paraId="4A388A0F" w14:textId="3665E441" w:rsidR="00DE700E" w:rsidRPr="00C16AB6" w:rsidRDefault="00DE700E" w:rsidP="00AF5CD5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Multi-network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multi-latency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</w:p>
          <w:p w14:paraId="7615501E" w14:textId="7DF26B60" w:rsidR="00DE700E" w:rsidRPr="00C16AB6" w:rsidRDefault="00DE700E" w:rsidP="00AF5CD5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Traffic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Segregation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</w:p>
          <w:p w14:paraId="2AAF739B" w14:textId="2B939BF0" w:rsidR="00DE700E" w:rsidRPr="00C16AB6" w:rsidRDefault="00DE700E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Network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adapter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secure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boot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(nie Server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Secure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Boot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),</w:t>
            </w:r>
          </w:p>
          <w:p w14:paraId="27F2B995" w14:textId="0FFB4007" w:rsidR="00DE700E" w:rsidRPr="00C16AB6" w:rsidRDefault="00DE700E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možnosť nastavenia adaptéra prostredníctvom  politík cez softvér centrálnej správy serverovej infraštruktúry,</w:t>
            </w:r>
          </w:p>
          <w:p w14:paraId="25C64C6B" w14:textId="34D412E7" w:rsidR="00DE700E" w:rsidRPr="00C16AB6" w:rsidRDefault="00DE700E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podpora vytvorenia až 512 virtuálnych sieťových adaptérov s možnosťou výberu medzi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Ethernet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vNIC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alebo FC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vHBA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4DC7B43D" w14:textId="384F9C4E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 1x 1Gb/s port na nezávislé pripojenie od operačného systému.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72AF" w14:textId="77777777" w:rsidR="00DE700E" w:rsidRPr="00C16AB6" w:rsidRDefault="00DE700E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000BCCAD" w14:textId="78F569DB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5A16" w14:textId="77777777" w:rsidR="00DE700E" w:rsidRPr="00C16AB6" w:rsidRDefault="00DE700E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Diskový radič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DC001" w14:textId="795ACF81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hardvérový diskový radič s podporou min. RAID 1 s rozhraním M.2.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ADEEE" w14:textId="77777777" w:rsidR="00DE700E" w:rsidRPr="00C16AB6" w:rsidRDefault="00DE700E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7ED01017" w14:textId="427751B6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C90F" w14:textId="7D9316CB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lastRenderedPageBreak/>
              <w:t>Subsystém pevných diskov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937D8" w14:textId="101A16EE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 2x 240GB typu SSD s rozhraním M.2.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699B1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6855B4D7" w14:textId="24C30EB1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2C28" w14:textId="09191200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8"/>
              </w:rPr>
              <w:t>Škálovateľnosť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</w:rPr>
              <w:t xml:space="preserve"> diskovej kapacity pre vybranú typovú radu serverov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C049" w14:textId="510CE696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 28 diskov SFF pre jeden server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BA6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38574626" w14:textId="1F89A6DC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93EB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Konektor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62DB" w14:textId="76F6E8C6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 jeden KVM konektor, ktorý poskytuje pripojenie 2x USB zariadenia, jedného VGA a jedného sériového zariadenia.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2FA71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3A26689F" w14:textId="7EDECDEA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EA70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PCI sloty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07ADF" w14:textId="14D79536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 1 voľný rozširujúci slot PCI-Express Gen4 x16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E766E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398930C0" w14:textId="28622D82" w:rsidTr="00DE700E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86AA9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 xml:space="preserve">Grafický adaptér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0B981" w14:textId="2D8400C6" w:rsidR="00DE700E" w:rsidRPr="00C16AB6" w:rsidRDefault="00DE700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integrovaný grafický adaptér na základnej doske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89C02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0923326E" w14:textId="77777777" w:rsidTr="00DE700E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5F3E" w14:textId="77777777" w:rsidR="00DE700E" w:rsidRPr="00C16AB6" w:rsidRDefault="00DE700E" w:rsidP="007E19C5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Napájacie zdroje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4D298" w14:textId="77777777" w:rsidR="00DE700E" w:rsidRPr="00C16AB6" w:rsidRDefault="00DE700E" w:rsidP="007E19C5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redundancia: N+1</w:t>
            </w:r>
          </w:p>
          <w:p w14:paraId="31D001D6" w14:textId="77777777" w:rsidR="00DE700E" w:rsidRPr="00C16AB6" w:rsidRDefault="00DE700E" w:rsidP="007E19C5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minimálny výkon jedného zdroja 2300W pri 230V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FCD49" w14:textId="77777777" w:rsidR="00DE700E" w:rsidRPr="00C16AB6" w:rsidRDefault="00DE700E" w:rsidP="007E19C5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E700E" w:rsidRPr="00C16AB6" w14:paraId="29DA3C89" w14:textId="0305D305" w:rsidTr="00DE700E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01A01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Bezpečnosť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C60D8" w14:textId="77777777" w:rsidR="00DE700E" w:rsidRPr="00C16AB6" w:rsidRDefault="00DE700E" w:rsidP="00AF5CD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Požiadavky navrhnuté tak, aby poskytovali vysoký stupeň bezpečnosti s nasledovnými vlastnosťami:</w:t>
            </w:r>
          </w:p>
          <w:p w14:paraId="374C4B25" w14:textId="30EC45DE" w:rsidR="00DE700E" w:rsidRPr="00C16AB6" w:rsidRDefault="00DE700E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Modul TPM 2.0,</w:t>
            </w:r>
          </w:p>
          <w:p w14:paraId="04EB9107" w14:textId="734111D0" w:rsidR="00DE700E" w:rsidRPr="00C16AB6" w:rsidRDefault="00DE700E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Podpora SPDM (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Security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Protocol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and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Data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Model),</w:t>
            </w:r>
          </w:p>
          <w:p w14:paraId="5C277110" w14:textId="2255534C" w:rsidR="00DE700E" w:rsidRPr="00C16AB6" w:rsidRDefault="00DE700E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Podpora MCTP (Management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Component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Transport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Protocol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) over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PCIe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Vendor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Defined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Messaging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00D3E1E1" w14:textId="3E695277" w:rsidR="00DE700E" w:rsidRPr="00C16AB6" w:rsidRDefault="00DE700E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Podpora BIOS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Scrub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Policies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6D928A8D" w14:textId="698D807C" w:rsidR="00DE700E" w:rsidRPr="00C16AB6" w:rsidRDefault="00DE700E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Trust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anchor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module (TAM).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1593" w14:textId="77777777" w:rsidR="00DE700E" w:rsidRPr="00C16AB6" w:rsidRDefault="00DE700E" w:rsidP="00501803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</w:tr>
      <w:tr w:rsidR="00DE700E" w:rsidRPr="00C16AB6" w14:paraId="36493974" w14:textId="06B16912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10A3E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 xml:space="preserve">Správa a manažment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91D8" w14:textId="77777777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hardvérový komponent nezávislý od operačného systému formou vzdialenej grafickej KVM konzoly,</w:t>
            </w:r>
          </w:p>
          <w:p w14:paraId="20C10827" w14:textId="77777777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možnosť pripojenia vzdialených médií, napr. CD ROM, DVD ROM, ISO image, USB kľúč, FDD,  vzdialený adresár,</w:t>
            </w:r>
          </w:p>
          <w:p w14:paraId="28627D3C" w14:textId="77777777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možnosť štartu, reštartu a vypnutia servera cez sieť LAN, nezávisle od OS,</w:t>
            </w:r>
          </w:p>
          <w:p w14:paraId="656B420F" w14:textId="77777777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centrálne manažovať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firmware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5ED21C6E" w14:textId="77777777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centrálne manažovať ovládače OS, </w:t>
            </w:r>
          </w:p>
          <w:p w14:paraId="3D997FC7" w14:textId="77777777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možnosť automaticky registrovať servisné incidenty priamo u výrobcu,</w:t>
            </w:r>
          </w:p>
          <w:p w14:paraId="44C7CAA3" w14:textId="7A6210B9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automatická obnova poškodeného / neautentického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firmware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servera,</w:t>
            </w:r>
          </w:p>
          <w:p w14:paraId="278862F6" w14:textId="1DD21E7A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server plne integrovaný so softvérom centrálnej správy serverovej infraštruktúry.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898A6" w14:textId="77777777" w:rsidR="00DE700E" w:rsidRPr="00C16AB6" w:rsidRDefault="00DE700E" w:rsidP="00501803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</w:tr>
      <w:tr w:rsidR="00DE700E" w:rsidRPr="00C16AB6" w14:paraId="023CE95D" w14:textId="4DA51296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F8EC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Servisná podpora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35CC" w14:textId="380C2DE1" w:rsidR="00DE700E" w:rsidRPr="00C16AB6" w:rsidRDefault="00DE700E" w:rsidP="00AF5CD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 xml:space="preserve">minimálne 3 roky </w:t>
            </w:r>
            <w:r w:rsidR="00245499" w:rsidRPr="00245499">
              <w:rPr>
                <w:rFonts w:ascii="Arial" w:hAnsi="Arial" w:cs="Arial"/>
                <w:sz w:val="18"/>
                <w:szCs w:val="18"/>
              </w:rPr>
              <w:t xml:space="preserve">odo dňa aktivovania servisnej podpory </w:t>
            </w:r>
            <w:r w:rsidRPr="00C16AB6">
              <w:rPr>
                <w:rFonts w:ascii="Arial" w:hAnsi="Arial" w:cs="Arial"/>
                <w:sz w:val="18"/>
                <w:szCs w:val="18"/>
              </w:rPr>
              <w:t>s nasledujúcimi parametrami:</w:t>
            </w:r>
          </w:p>
          <w:p w14:paraId="2EA6AB14" w14:textId="77777777" w:rsidR="00DE700E" w:rsidRPr="00C16AB6" w:rsidRDefault="00DE700E" w:rsidP="00C16AB6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výmena zariadenia v prípade poruchy v režime 8x5xNBD,</w:t>
            </w:r>
          </w:p>
          <w:p w14:paraId="4AFDDB2F" w14:textId="77777777" w:rsidR="00DE700E" w:rsidRPr="00C16AB6" w:rsidRDefault="00DE700E" w:rsidP="00C16AB6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pokazené dodané pevné disky musia zostávať vo vlastníctve verejného obstarávateľa,</w:t>
            </w:r>
          </w:p>
          <w:p w14:paraId="07CE6767" w14:textId="77777777" w:rsidR="00DE700E" w:rsidRPr="00C16AB6" w:rsidRDefault="00DE700E" w:rsidP="00C16AB6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lastRenderedPageBreak/>
              <w:t>centralizovaná podpora dodávaného riešenia, ktorého je produkt súčasťou s nasledujúcimi charakteristikami:</w:t>
            </w:r>
          </w:p>
          <w:p w14:paraId="6F4FE2CE" w14:textId="77777777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riešenie servisných prípadov na úrovni riešenia, nie len na úrovni podpory jednotlivých produktov.</w:t>
            </w:r>
          </w:p>
          <w:p w14:paraId="4BE16D8E" w14:textId="77777777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podpora.</w:t>
            </w:r>
          </w:p>
          <w:p w14:paraId="0C7D58A3" w14:textId="1362A893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ware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eeam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ware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4E739EEC" w14:textId="77777777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požiadavka na možnosť otvorenia servisného prípadu bez nutnosti robiť vlastnú diagnostiku problému.</w:t>
            </w:r>
          </w:p>
          <w:p w14:paraId="49391489" w14:textId="77777777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poskytovateľ podpory musí byť primárny bod kontaktu pre incidenty v riešení.</w:t>
            </w:r>
          </w:p>
          <w:p w14:paraId="62C772C2" w14:textId="77777777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manažment servisného prípadu a koordinácia jednotlivých servisných tímov výrobcu musí byť zabezpečená výrobcom. </w:t>
            </w:r>
          </w:p>
          <w:p w14:paraId="0EE954CC" w14:textId="77777777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podpory. </w:t>
            </w:r>
          </w:p>
          <w:p w14:paraId="23FA5568" w14:textId="3299C339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požiadavka na prístup k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webin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á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rom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s odporúčanými postupmi pre nasadenie a prevádzkovanie podporovaných produktov. </w:t>
            </w:r>
          </w:p>
          <w:p w14:paraId="5B7B11D3" w14:textId="37F7440C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1B67A3D8" w14:textId="35B7FC15" w:rsidR="00DE700E" w:rsidRPr="00C16AB6" w:rsidRDefault="00DE700E" w:rsidP="00C16AB6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7205674A" w14:textId="76304AF1" w:rsidR="00DE700E" w:rsidRPr="00C16AB6" w:rsidRDefault="00DE700E" w:rsidP="00C16AB6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deň pri hovoroch mimo pracovných hodín.</w:t>
            </w:r>
          </w:p>
          <w:p w14:paraId="28B35126" w14:textId="4823DF03" w:rsidR="00DE700E" w:rsidRPr="00C16AB6" w:rsidRDefault="00DE700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supportných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kontraktov u týchto výrobcov.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EF1D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DB0C84" w14:textId="77777777" w:rsidR="00A341DE" w:rsidRDefault="00A341DE">
      <w:r>
        <w:br w:type="page"/>
      </w:r>
    </w:p>
    <w:tbl>
      <w:tblPr>
        <w:tblW w:w="140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83"/>
        <w:gridCol w:w="4964"/>
      </w:tblGrid>
      <w:tr w:rsidR="00DE700E" w:rsidRPr="00C16AB6" w14:paraId="0ECE2C77" w14:textId="7AD01794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13DFE" w14:textId="40AAE334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lastRenderedPageBreak/>
              <w:t>Prevedenie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820E5" w14:textId="77777777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19“ serverová skriňa, </w:t>
            </w:r>
          </w:p>
          <w:p w14:paraId="1FEBAB89" w14:textId="232F54E0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výška 2U, </w:t>
            </w:r>
          </w:p>
          <w:p w14:paraId="774435BB" w14:textId="7862725C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súčasťou servera musia byť aj koľajnice na montáž do serverovej skrine spolu s ramenom na vedenie kabeláže, ktoré umožňuje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servisovanie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počas prevádzky Servera TYP 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58620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13D9CCEB" w14:textId="77777777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31E29" w14:textId="627E48DA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Inštalácia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82318E" w14:textId="73CA216A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  <w:p w14:paraId="08E572EE" w14:textId="4A8C0AE5" w:rsidR="00DE700E" w:rsidRPr="00C16AB6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Serveru Typ 2. </w:t>
            </w:r>
          </w:p>
          <w:p w14:paraId="2D38DC6B" w14:textId="3E054B70" w:rsidR="00DE700E" w:rsidRPr="00C16AB6" w:rsidRDefault="00DE700E" w:rsidP="005F200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uchádzač musí preukázať, že disponuje aktuálne platným certifikátom vydaný</w:t>
            </w:r>
            <w:r w:rsidR="005F200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výrobcom alebo producentom, resp. osobou, ktorá je oprávnená tento certifikát vydávať pre dodávaný Server Typ 2.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(Poznámka: predmetný certifikát tvorí prílohu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č. 5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1B069E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65C7D8FD" w14:textId="669728C1" w:rsidTr="00DE700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8981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 xml:space="preserve">Počet serverov 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DD27" w14:textId="216997EB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2 ks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03579E" w14:textId="77777777" w:rsidR="00DE700E" w:rsidRPr="00C16AB6" w:rsidRDefault="00DE700E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C4AB7" w14:textId="0F30C57D" w:rsidR="000E577E" w:rsidRPr="00C16AB6" w:rsidRDefault="000E577E">
      <w:pPr>
        <w:rPr>
          <w:rFonts w:ascii="Arial" w:hAnsi="Arial" w:cs="Arial"/>
        </w:rPr>
      </w:pPr>
    </w:p>
    <w:p w14:paraId="5D1503B5" w14:textId="77777777" w:rsidR="00B93E09" w:rsidRPr="00C16AB6" w:rsidRDefault="00B93E09">
      <w:pPr>
        <w:rPr>
          <w:rFonts w:ascii="Arial" w:hAnsi="Arial" w:cs="Arial"/>
        </w:rPr>
      </w:pPr>
    </w:p>
    <w:p w14:paraId="1E4930BF" w14:textId="77777777" w:rsidR="00AF5CD5" w:rsidRPr="00C16AB6" w:rsidRDefault="00AF5CD5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br w:type="page"/>
      </w:r>
    </w:p>
    <w:p w14:paraId="05E8E247" w14:textId="1CEF2AC9" w:rsidR="004A1F9B" w:rsidRPr="00C16AB6" w:rsidRDefault="00256789" w:rsidP="00796CDD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lastRenderedPageBreak/>
        <w:t>3.</w:t>
      </w:r>
      <w:r w:rsidRPr="00C16AB6">
        <w:rPr>
          <w:rFonts w:ascii="Arial" w:hAnsi="Arial" w:cs="Arial"/>
          <w:b/>
        </w:rPr>
        <w:tab/>
        <w:t>Požiadavky na Serverovú infraštruktúru - Softvérový</w:t>
      </w:r>
      <w:r w:rsidR="00796CDD" w:rsidRPr="00C16AB6">
        <w:rPr>
          <w:rFonts w:ascii="Arial" w:hAnsi="Arial" w:cs="Arial"/>
          <w:b/>
        </w:rPr>
        <w:t xml:space="preserve"> nástroj</w:t>
      </w:r>
      <w:r w:rsidR="004A1F9B" w:rsidRPr="00C16AB6">
        <w:rPr>
          <w:rFonts w:ascii="Arial" w:hAnsi="Arial" w:cs="Arial"/>
          <w:b/>
        </w:rPr>
        <w:t xml:space="preserve"> </w:t>
      </w:r>
      <w:r w:rsidR="00796CDD" w:rsidRPr="00C16AB6">
        <w:rPr>
          <w:rFonts w:ascii="Arial" w:hAnsi="Arial" w:cs="Arial"/>
          <w:b/>
        </w:rPr>
        <w:t>pre c</w:t>
      </w:r>
      <w:r w:rsidR="004A1F9B" w:rsidRPr="00C16AB6">
        <w:rPr>
          <w:rFonts w:ascii="Arial" w:hAnsi="Arial" w:cs="Arial"/>
          <w:b/>
        </w:rPr>
        <w:t>entráln</w:t>
      </w:r>
      <w:r w:rsidR="00796CDD" w:rsidRPr="00C16AB6">
        <w:rPr>
          <w:rFonts w:ascii="Arial" w:hAnsi="Arial" w:cs="Arial"/>
          <w:b/>
        </w:rPr>
        <w:t>u</w:t>
      </w:r>
      <w:r w:rsidR="004A1F9B" w:rsidRPr="00C16AB6">
        <w:rPr>
          <w:rFonts w:ascii="Arial" w:hAnsi="Arial" w:cs="Arial"/>
          <w:b/>
        </w:rPr>
        <w:t xml:space="preserve"> správ</w:t>
      </w:r>
      <w:r w:rsidR="00796CDD" w:rsidRPr="00C16AB6">
        <w:rPr>
          <w:rFonts w:ascii="Arial" w:hAnsi="Arial" w:cs="Arial"/>
          <w:b/>
        </w:rPr>
        <w:t>u</w:t>
      </w:r>
      <w:r w:rsidR="004A1F9B" w:rsidRPr="00C16AB6">
        <w:rPr>
          <w:rFonts w:ascii="Arial" w:hAnsi="Arial" w:cs="Arial"/>
          <w:b/>
        </w:rPr>
        <w:t xml:space="preserve"> infraštruktúry</w:t>
      </w:r>
    </w:p>
    <w:p w14:paraId="3A115AE4" w14:textId="7662C0AE" w:rsidR="00796CDD" w:rsidRDefault="00796CDD" w:rsidP="00796CDD">
      <w:pPr>
        <w:rPr>
          <w:rFonts w:ascii="Arial" w:hAnsi="Arial" w:cs="Arial"/>
          <w:lang w:eastAsia="sk-SK"/>
        </w:rPr>
      </w:pPr>
      <w:r w:rsidRPr="00C16AB6">
        <w:rPr>
          <w:rFonts w:ascii="Arial" w:hAnsi="Arial" w:cs="Arial"/>
          <w:lang w:eastAsia="sk-SK"/>
        </w:rPr>
        <w:t xml:space="preserve">Pre správu a prevádzku vyššie požadovaných serverových komponentov je požadovaný </w:t>
      </w:r>
      <w:r w:rsidR="00F40C93" w:rsidRPr="00C16AB6">
        <w:rPr>
          <w:rFonts w:ascii="Arial" w:hAnsi="Arial" w:cs="Arial"/>
          <w:lang w:eastAsia="sk-SK"/>
        </w:rPr>
        <w:t xml:space="preserve">softvérový </w:t>
      </w:r>
      <w:r w:rsidRPr="00C16AB6">
        <w:rPr>
          <w:rFonts w:ascii="Arial" w:hAnsi="Arial" w:cs="Arial"/>
          <w:lang w:eastAsia="sk-SK"/>
        </w:rPr>
        <w:t xml:space="preserve">nástroj pre centrálnu správu infraštruktúry, ktorý </w:t>
      </w:r>
      <w:r w:rsidR="00F40C93" w:rsidRPr="00C16AB6">
        <w:rPr>
          <w:rFonts w:ascii="Arial" w:hAnsi="Arial" w:cs="Arial"/>
          <w:lang w:eastAsia="sk-SK"/>
        </w:rPr>
        <w:t xml:space="preserve">musí </w:t>
      </w:r>
      <w:r w:rsidRPr="00C16AB6">
        <w:rPr>
          <w:rFonts w:ascii="Arial" w:hAnsi="Arial" w:cs="Arial"/>
          <w:lang w:eastAsia="sk-SK"/>
        </w:rPr>
        <w:t>spĺňa</w:t>
      </w:r>
      <w:r w:rsidR="00F40C93" w:rsidRPr="00C16AB6">
        <w:rPr>
          <w:rFonts w:ascii="Arial" w:hAnsi="Arial" w:cs="Arial"/>
          <w:lang w:eastAsia="sk-SK"/>
        </w:rPr>
        <w:t>ť</w:t>
      </w:r>
      <w:r w:rsidRPr="00C16AB6">
        <w:rPr>
          <w:rFonts w:ascii="Arial" w:hAnsi="Arial" w:cs="Arial"/>
          <w:lang w:eastAsia="sk-SK"/>
        </w:rPr>
        <w:t xml:space="preserve"> nasledujúce </w:t>
      </w:r>
      <w:r w:rsidR="00F40C93" w:rsidRPr="00C16AB6">
        <w:rPr>
          <w:rFonts w:ascii="Arial" w:hAnsi="Arial" w:cs="Arial"/>
          <w:lang w:eastAsia="sk-SK"/>
        </w:rPr>
        <w:t xml:space="preserve">minimálne </w:t>
      </w:r>
      <w:r w:rsidRPr="00C16AB6">
        <w:rPr>
          <w:rFonts w:ascii="Arial" w:hAnsi="Arial" w:cs="Arial"/>
          <w:lang w:eastAsia="sk-SK"/>
        </w:rPr>
        <w:t>požiadavky</w:t>
      </w:r>
      <w:r w:rsidR="00F40C93" w:rsidRPr="00C16AB6">
        <w:rPr>
          <w:rFonts w:ascii="Arial" w:hAnsi="Arial" w:cs="Arial"/>
          <w:lang w:eastAsia="sk-SK"/>
        </w:rPr>
        <w:t>:</w:t>
      </w:r>
    </w:p>
    <w:p w14:paraId="4BABA226" w14:textId="2A36D97F" w:rsidR="00D77FE0" w:rsidRPr="00D77FE0" w:rsidRDefault="00D77FE0" w:rsidP="00796CDD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 č. 3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1"/>
        <w:gridCol w:w="7023"/>
        <w:gridCol w:w="4820"/>
      </w:tblGrid>
      <w:tr w:rsidR="00DE700E" w:rsidRPr="00A341DE" w14:paraId="5AE2850C" w14:textId="34ECFE3C" w:rsidTr="00DE700E">
        <w:trPr>
          <w:cantSplit/>
          <w:trHeight w:val="268"/>
        </w:trPr>
        <w:tc>
          <w:tcPr>
            <w:tcW w:w="2191" w:type="dxa"/>
            <w:shd w:val="clear" w:color="auto" w:fill="D5DCE4" w:themeFill="text2" w:themeFillTint="33"/>
            <w:vAlign w:val="center"/>
          </w:tcPr>
          <w:p w14:paraId="353D8F46" w14:textId="7EE88BE6" w:rsidR="00DE700E" w:rsidRPr="00A341DE" w:rsidRDefault="00DE700E" w:rsidP="004A2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341DE">
              <w:rPr>
                <w:rFonts w:ascii="Arial" w:hAnsi="Arial" w:cs="Arial"/>
                <w:b/>
                <w:sz w:val="18"/>
                <w:szCs w:val="18"/>
              </w:rPr>
              <w:t>Parameter :</w:t>
            </w:r>
          </w:p>
        </w:tc>
        <w:tc>
          <w:tcPr>
            <w:tcW w:w="7023" w:type="dxa"/>
            <w:shd w:val="clear" w:color="auto" w:fill="D5DCE4" w:themeFill="text2" w:themeFillTint="33"/>
            <w:vAlign w:val="center"/>
          </w:tcPr>
          <w:p w14:paraId="15AE4D92" w14:textId="0F3AC2BE" w:rsidR="00DE700E" w:rsidRPr="00A341DE" w:rsidRDefault="00DE700E" w:rsidP="004A2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341DE">
              <w:rPr>
                <w:rFonts w:ascii="Arial" w:hAnsi="Arial" w:cs="Arial"/>
                <w:b/>
                <w:sz w:val="18"/>
                <w:szCs w:val="18"/>
              </w:rPr>
              <w:t>Minimálne požadované parametre :</w:t>
            </w:r>
          </w:p>
        </w:tc>
        <w:tc>
          <w:tcPr>
            <w:tcW w:w="4820" w:type="dxa"/>
            <w:shd w:val="clear" w:color="auto" w:fill="D5DCE4" w:themeFill="text2" w:themeFillTint="33"/>
            <w:vAlign w:val="center"/>
          </w:tcPr>
          <w:p w14:paraId="02E2244D" w14:textId="6E2E3E9F" w:rsidR="00DE700E" w:rsidRPr="00A341DE" w:rsidRDefault="00DE700E" w:rsidP="004A2E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 uchádzača – uviesť parameter alebo vlastnosť ponúkaného tovaru</w:t>
            </w:r>
          </w:p>
        </w:tc>
      </w:tr>
      <w:tr w:rsidR="00DE700E" w:rsidRPr="00A341DE" w14:paraId="753CA752" w14:textId="77777777" w:rsidTr="00DE7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C4811" w14:textId="63D64A3A" w:rsidR="00DE700E" w:rsidRPr="00A341DE" w:rsidRDefault="00DE700E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Hlk159754856"/>
            <w:r w:rsidRPr="00A341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Softvérový nástroj pre centrálnu správu infraštruktúry  </w:t>
            </w:r>
            <w:bookmarkEnd w:id="4"/>
            <w:r w:rsidRPr="00A341DE">
              <w:rPr>
                <w:rFonts w:ascii="Arial" w:hAnsi="Arial" w:cs="Arial"/>
                <w:bCs/>
                <w:i/>
                <w:sz w:val="18"/>
                <w:szCs w:val="18"/>
              </w:rPr>
              <w:t>požiadavka uviesť</w:t>
            </w:r>
            <w:r w:rsidRPr="00A341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detailnú technickú konfiguráciu s jednoznačným označením komponentov podľa výrobcu (Part </w:t>
            </w:r>
            <w:proofErr w:type="spellStart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Number</w:t>
            </w:r>
            <w:proofErr w:type="spellEnd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Product</w:t>
            </w:r>
            <w:proofErr w:type="spellEnd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Code</w:t>
            </w:r>
            <w:proofErr w:type="spellEnd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F1D87" w14:textId="77777777" w:rsidR="00DE700E" w:rsidRPr="00A341DE" w:rsidRDefault="00DE700E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A341DE" w14:paraId="7A45B843" w14:textId="38974067" w:rsidTr="00DE700E">
        <w:trPr>
          <w:cantSplit/>
          <w:trHeight w:val="377"/>
        </w:trPr>
        <w:tc>
          <w:tcPr>
            <w:tcW w:w="2191" w:type="dxa"/>
          </w:tcPr>
          <w:p w14:paraId="3F17013D" w14:textId="1409D032" w:rsidR="00DE700E" w:rsidRPr="00A341DE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t>Jednotné monitorovanie a riadenie</w:t>
            </w:r>
          </w:p>
        </w:tc>
        <w:tc>
          <w:tcPr>
            <w:tcW w:w="7023" w:type="dxa"/>
          </w:tcPr>
          <w:p w14:paraId="0CD3DF88" w14:textId="1232FFCC" w:rsidR="00DE700E" w:rsidRPr="00A341DE" w:rsidRDefault="00DE700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monitorovania serverových, sieťových a ukladacích riešení, integrovaných systémov, virtualizácie a kontajnerových zdrojov a aplikácií integrovateľných prostredníctvom REST API.</w:t>
            </w:r>
          </w:p>
          <w:p w14:paraId="3D628869" w14:textId="77777777" w:rsidR="00DE700E" w:rsidRPr="00A341DE" w:rsidRDefault="00DE700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vytvárania rýchlych prehľadov a 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dashboardov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pre zariadenia integrované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s nástrojom pre centrálnu správu infraštruktúry.  </w:t>
            </w:r>
          </w:p>
          <w:p w14:paraId="0817F572" w14:textId="77777777" w:rsidR="00DE700E" w:rsidRPr="00A341DE" w:rsidRDefault="00DE700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monitorovania infraštruktúry v reálnom čase a možnosť vyhľadávania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v historických údajov pre fyzické servery a virtuálne rozhrania.  </w:t>
            </w:r>
          </w:p>
          <w:p w14:paraId="1A2FCCF7" w14:textId="77777777" w:rsidR="00DE700E" w:rsidRPr="00A341DE" w:rsidRDefault="00DE700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prehľadávanie a analyzovanie metriky a udalosti infraštruktúry v reálnom čase.</w:t>
            </w:r>
          </w:p>
          <w:p w14:paraId="36D6DC33" w14:textId="77777777" w:rsidR="00DE700E" w:rsidRPr="00A341DE" w:rsidRDefault="00DE700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výber a analýza historickej metriky a udalosti infraštruktúry za ľubovoľné časové obdobie.</w:t>
            </w:r>
          </w:p>
          <w:p w14:paraId="6BCA5A67" w14:textId="77777777" w:rsidR="00DE700E" w:rsidRPr="00A341DE" w:rsidRDefault="00DE700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vizualizácia metriky a udalosti infraštruktúry pomocou prispôsobiteľných miniaplikácií pre  rýchle identifikovanie a analyzovanie relevantných informácií, hĺbkové riešenie problémov, prognózovanie a plánovanie zdrojov.</w:t>
            </w:r>
          </w:p>
          <w:p w14:paraId="4CFB255E" w14:textId="3AD4A03C" w:rsidR="00DE700E" w:rsidRPr="00A341DE" w:rsidRDefault="00DE700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monitorovania a sledovania spotreby energie serverov. </w:t>
            </w:r>
          </w:p>
          <w:p w14:paraId="70975FDE" w14:textId="16334734" w:rsidR="00DE700E" w:rsidRPr="00A341DE" w:rsidRDefault="00DE700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monitorovania a sledovania celkovej spotreby energie serverovej infraštruktúry v prostredí.</w:t>
            </w:r>
          </w:p>
        </w:tc>
        <w:tc>
          <w:tcPr>
            <w:tcW w:w="4820" w:type="dxa"/>
          </w:tcPr>
          <w:p w14:paraId="1D8E87E0" w14:textId="77777777" w:rsidR="00DE700E" w:rsidRPr="00A341DE" w:rsidRDefault="00DE700E" w:rsidP="007F00D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700E" w:rsidRPr="00A341DE" w14:paraId="6EA29271" w14:textId="7FFF6401" w:rsidTr="00DE700E">
        <w:trPr>
          <w:cantSplit/>
          <w:trHeight w:val="299"/>
        </w:trPr>
        <w:tc>
          <w:tcPr>
            <w:tcW w:w="2191" w:type="dxa"/>
          </w:tcPr>
          <w:p w14:paraId="5FBAE2D7" w14:textId="03FB5827" w:rsidR="00DE700E" w:rsidRPr="00A341DE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lastRenderedPageBreak/>
              <w:t>Konfigurácia, zabezpečenie a inštalácia</w:t>
            </w:r>
          </w:p>
        </w:tc>
        <w:tc>
          <w:tcPr>
            <w:tcW w:w="7023" w:type="dxa"/>
          </w:tcPr>
          <w:p w14:paraId="1423BA66" w14:textId="4271017B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definovať profily a šablóny na nasadenie a konfigurácie založené na zásadách:</w:t>
            </w:r>
          </w:p>
          <w:p w14:paraId="0D470E53" w14:textId="0452A633" w:rsidR="00DE700E" w:rsidRPr="00A341DE" w:rsidRDefault="00DE700E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zdieľať a klonovať konfiguračné zdroje, </w:t>
            </w:r>
          </w:p>
          <w:p w14:paraId="52AD71A8" w14:textId="71BEB62F" w:rsidR="00DE700E" w:rsidRPr="00A341DE" w:rsidRDefault="00DE700E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umožňovať konzistentne distribuovanie politík v infraštruktúre,</w:t>
            </w:r>
          </w:p>
          <w:p w14:paraId="4D796720" w14:textId="3C602A1A" w:rsidR="00DE700E" w:rsidRPr="00A341DE" w:rsidRDefault="00DE700E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udržiavať štandardizáciu,</w:t>
            </w:r>
          </w:p>
          <w:p w14:paraId="0E1989AE" w14:textId="34CB752C" w:rsidR="00DE700E" w:rsidRPr="00A341DE" w:rsidRDefault="00DE700E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minimalizovať odchýlky v konfiguráciách.</w:t>
            </w:r>
          </w:p>
          <w:p w14:paraId="0C84F919" w14:textId="77777777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nastavenia a aplikovania zásad napájania na úrovni servera alebo šasi, ovládanie rýchlosti ventilátora, nastavenie systému BIOS a nastavenia profilovania napájania.</w:t>
            </w:r>
          </w:p>
          <w:p w14:paraId="1F9D3FBA" w14:textId="1892A6CE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centrálne evidovať a manažovať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firmware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pre systémy integrované do Softvérového nástroja pre centrálnu správu infraštruktúry.  </w:t>
            </w:r>
          </w:p>
        </w:tc>
        <w:tc>
          <w:tcPr>
            <w:tcW w:w="4820" w:type="dxa"/>
          </w:tcPr>
          <w:p w14:paraId="03AC6D15" w14:textId="77777777" w:rsidR="00DE700E" w:rsidRPr="00A341DE" w:rsidRDefault="00DE700E" w:rsidP="007F00DE">
            <w:pPr>
              <w:spacing w:after="120" w:line="240" w:lineRule="auto"/>
              <w:ind w:left="-12" w:firstLine="1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A341DE" w14:paraId="297486A1" w14:textId="08E175B4" w:rsidTr="00DE700E">
        <w:trPr>
          <w:cantSplit/>
          <w:trHeight w:val="139"/>
        </w:trPr>
        <w:tc>
          <w:tcPr>
            <w:tcW w:w="2191" w:type="dxa"/>
          </w:tcPr>
          <w:p w14:paraId="6DD8EB04" w14:textId="1D3FE11B" w:rsidR="00DE700E" w:rsidRPr="00A341DE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t>Bezpečnosť</w:t>
            </w:r>
          </w:p>
        </w:tc>
        <w:tc>
          <w:tcPr>
            <w:tcW w:w="7023" w:type="dxa"/>
          </w:tcPr>
          <w:p w14:paraId="1ECD06BE" w14:textId="406AC992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certifikácia ISO 27001: štandard pre systémy riadenia informačnej bezpečnosti,</w:t>
            </w:r>
          </w:p>
          <w:p w14:paraId="3A411AC7" w14:textId="5BC3BF94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certifikácia SOC 2 Type 2,</w:t>
            </w:r>
          </w:p>
          <w:p w14:paraId="24AFF83B" w14:textId="34298242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podpora pre bezpečnostné protokoly vrátane: HTTPS, TLS a AES,</w:t>
            </w:r>
          </w:p>
          <w:p w14:paraId="15505E2A" w14:textId="6B193291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riadenia prístupu na základe rolí,</w:t>
            </w:r>
          </w:p>
          <w:p w14:paraId="5CF47BE5" w14:textId="1D177DB1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autorizácie a obmedzenia prístupu k systému na základe rolí a privilégií používateľov,</w:t>
            </w:r>
          </w:p>
          <w:p w14:paraId="190AB486" w14:textId="293DB463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podpory pre externých poskytovateľov identity pomocou SAML 2.0,</w:t>
            </w:r>
          </w:p>
          <w:p w14:paraId="67D5DFE5" w14:textId="48827A6D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auditu zaznamenávajúceho všetky akcie, ktoré boli vykonané v infraštruktúre a možnosť ich filtrovať a/alebo vyhľadávať podľa časových pečiatok, ovplyvnených objektov, udalostí, prihlásení/odhlásení používateľov,</w:t>
            </w:r>
          </w:p>
          <w:p w14:paraId="4DF46623" w14:textId="65EA8914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integrácie s existujúcou platformou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Security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Information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and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Event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Management (SIEM) od výrobcu IBM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QRadar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prostredníctvom rozhrania API,</w:t>
            </w:r>
          </w:p>
          <w:p w14:paraId="382529B0" w14:textId="1229F7E1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kontroly kompatibility hardvéru vo prostredí na základe zoznamu HCL (Hardware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Compatibility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List) vrátane upozornenia na potenciálne nezrovnalosti zariadení a poskytne odporúčané akcie,</w:t>
            </w:r>
          </w:p>
          <w:p w14:paraId="7F4E6FC8" w14:textId="688901F9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upozornenia na koniec životnosti a stav zmluvy o podpore zariadenia,</w:t>
            </w:r>
          </w:p>
          <w:p w14:paraId="35BCDCEF" w14:textId="74302B5A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prevádzkovania softvéru s plnohodnotnou funkcionalitou v privátnom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cloud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-e (on premise) bez pripojenia do internetu.</w:t>
            </w:r>
          </w:p>
        </w:tc>
        <w:tc>
          <w:tcPr>
            <w:tcW w:w="4820" w:type="dxa"/>
          </w:tcPr>
          <w:p w14:paraId="4C6D4146" w14:textId="77777777" w:rsidR="00DE700E" w:rsidRPr="00A341DE" w:rsidRDefault="00DE700E" w:rsidP="00796CDD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A341DE" w14:paraId="1F7BF19B" w14:textId="166DEDD4" w:rsidTr="00DE700E">
        <w:trPr>
          <w:cantSplit/>
          <w:trHeight w:val="147"/>
        </w:trPr>
        <w:tc>
          <w:tcPr>
            <w:tcW w:w="2191" w:type="dxa"/>
          </w:tcPr>
          <w:p w14:paraId="765DA51A" w14:textId="3DB641FA" w:rsidR="00DE700E" w:rsidRPr="00A341DE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lastRenderedPageBreak/>
              <w:t>Automatizácia a orchestrácia</w:t>
            </w:r>
          </w:p>
        </w:tc>
        <w:tc>
          <w:tcPr>
            <w:tcW w:w="7023" w:type="dxa"/>
          </w:tcPr>
          <w:p w14:paraId="32DE8937" w14:textId="070D392C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drag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-and-drop na vytváranie a spúšťanie zložitých orchestrácií naprieč viacerými infraštruktúrami, aplikáciami a externými koncovými bodmi.</w:t>
            </w:r>
          </w:p>
          <w:p w14:paraId="24AC12D4" w14:textId="2326901E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vytvárania vlastnej knižnice automatizovaných operácií pomocou otvorených štandardov, ako sú HTTP/API,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Ansible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PowerShell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, SSH a ďalšie.</w:t>
            </w:r>
          </w:p>
          <w:p w14:paraId="0193D5C1" w14:textId="19738FA4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knižnice s preddefinovanými automatizačnými úlohami, ktoré podporujú operácie naprieč servermi, sieťami, úložiskami, integrovanými systémami, virtualizáciou, kontajnermi a ďalšími automatizačnými nástrojmi, ako sú napr.: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HashiCorp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Terraform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Red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Hat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Ansible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  <w:tc>
          <w:tcPr>
            <w:tcW w:w="4820" w:type="dxa"/>
          </w:tcPr>
          <w:p w14:paraId="124997DD" w14:textId="77777777" w:rsidR="00DE700E" w:rsidRPr="00A341DE" w:rsidRDefault="00DE700E" w:rsidP="005F550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A341DE" w14:paraId="631F4010" w14:textId="2C53B574" w:rsidTr="00DE700E">
        <w:trPr>
          <w:cantSplit/>
          <w:trHeight w:val="147"/>
        </w:trPr>
        <w:tc>
          <w:tcPr>
            <w:tcW w:w="2191" w:type="dxa"/>
          </w:tcPr>
          <w:p w14:paraId="57C0BB7E" w14:textId="7D423724" w:rsidR="00DE700E" w:rsidRPr="00A341DE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t>REST API a integrácia s 3timi stranami musí</w:t>
            </w:r>
          </w:p>
        </w:tc>
        <w:tc>
          <w:tcPr>
            <w:tcW w:w="7023" w:type="dxa"/>
          </w:tcPr>
          <w:p w14:paraId="452C7BE0" w14:textId="7D1600E5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poskytovať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RESTful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API na správu IT infraštruktúry a zdrojov vo viacerých dátových centrách a okrajových lokalitách.</w:t>
            </w:r>
          </w:p>
          <w:p w14:paraId="3B3FAFF2" w14:textId="502D3B5E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poskytovať špecifikáciu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OpenAPI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(OAS), ktorá poskytuje plnú programovateľnosť a hlbokú integráciu.</w:t>
            </w:r>
          </w:p>
          <w:p w14:paraId="7605072B" w14:textId="352461FC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poskytovať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Python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PowerShell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SDK, ktoré umožní integráciu s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Ansible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Chef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Puppet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a ďalšími nástrojmi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DevOps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 ITOM nástrojmi (IT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Operations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Management).</w:t>
            </w:r>
          </w:p>
          <w:p w14:paraId="17E5BA0D" w14:textId="281774FB" w:rsidR="00DE700E" w:rsidRPr="00A341DE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umožňovať pripojiť vybrané typy serverov z existujúceho riešenia pre sledovanie inventáru hardvéru a ich stavov s doplnením licencií pre tieto existujúce zariadenia.</w:t>
            </w:r>
          </w:p>
        </w:tc>
        <w:tc>
          <w:tcPr>
            <w:tcW w:w="4820" w:type="dxa"/>
          </w:tcPr>
          <w:p w14:paraId="2264F783" w14:textId="77777777" w:rsidR="00DE700E" w:rsidRPr="00A341DE" w:rsidRDefault="00DE700E" w:rsidP="005F550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00E" w:rsidRPr="00C16AB6" w14:paraId="58540A79" w14:textId="77777777" w:rsidTr="00DE7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6F335" w14:textId="3BC1982B" w:rsidR="00DE700E" w:rsidRPr="000F64FC" w:rsidRDefault="00DE700E" w:rsidP="00AF5CD5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0F64FC">
              <w:rPr>
                <w:rFonts w:ascii="Arial" w:hAnsi="Arial" w:cs="Arial"/>
                <w:sz w:val="18"/>
                <w:szCs w:val="16"/>
              </w:rPr>
              <w:t>Inštalácia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CF911" w14:textId="64257EBD" w:rsidR="00DE700E" w:rsidRPr="000F64FC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0F64FC">
              <w:rPr>
                <w:rFonts w:ascii="Arial" w:hAnsi="Arial" w:cs="Arial"/>
                <w:sz w:val="18"/>
                <w:szCs w:val="16"/>
                <w:lang w:val="sk-SK"/>
              </w:rPr>
              <w:t xml:space="preserve">súčasťou ponuky musí byť inštalačná služba zahrňujúca dopravu, inštaláciu a nastavenie softvérového nástroja pre centrálnu správu infraštruktúry z dôvodu odskúšania funkčnosti a prevádzkyschopnosti. </w:t>
            </w:r>
          </w:p>
          <w:p w14:paraId="646BDF95" w14:textId="0D7C0B14" w:rsidR="00DE700E" w:rsidRPr="000F64FC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0F64FC">
              <w:rPr>
                <w:rFonts w:ascii="Arial" w:hAnsi="Arial" w:cs="Arial"/>
                <w:sz w:val="18"/>
                <w:szCs w:val="16"/>
                <w:lang w:val="sk-SK"/>
              </w:rPr>
              <w:t xml:space="preserve">inštaláciu a nastavenie musí zabezpečovať certifikovaná osoba oprávnená zabezpečovať inštaláciu a nastavenie dodávaného softvérového nástroja pre centrálnu správu infraštruktúry. </w:t>
            </w:r>
          </w:p>
          <w:p w14:paraId="196D523D" w14:textId="4EECAD3F" w:rsidR="00DE700E" w:rsidRPr="000F64FC" w:rsidRDefault="00DE700E" w:rsidP="00DE700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0F64FC">
              <w:rPr>
                <w:rFonts w:ascii="Arial" w:hAnsi="Arial" w:cs="Arial"/>
                <w:sz w:val="18"/>
                <w:szCs w:val="16"/>
                <w:lang w:val="sk-SK"/>
              </w:rPr>
              <w:t>uchádzač musí preukázať, že disponuje aktuálne platným certifikátom vydaný</w:t>
            </w:r>
            <w:r w:rsidR="005F200E"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Pr="000F64FC">
              <w:rPr>
                <w:rFonts w:ascii="Arial" w:hAnsi="Arial" w:cs="Arial"/>
                <w:sz w:val="18"/>
                <w:szCs w:val="16"/>
                <w:lang w:val="sk-SK"/>
              </w:rPr>
              <w:t xml:space="preserve"> výrobcom alebo producentom, resp. osobou, ktorá je oprávnená tento certifikát vydávať pre dodávaný softvérový nástroj pre centrálnu správu infraštruktúry.</w:t>
            </w:r>
            <w:r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(Poznámka: predmetný certifikát tvorí prílohu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6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EBF0D" w14:textId="77777777" w:rsidR="00DE700E" w:rsidRPr="00C16AB6" w:rsidRDefault="00DE700E" w:rsidP="00AF5C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00E" w:rsidRPr="00C16AB6" w14:paraId="30F89982" w14:textId="77777777" w:rsidTr="00DE7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9B8E" w14:textId="1A85D42D" w:rsidR="00DE700E" w:rsidRPr="000F64FC" w:rsidRDefault="00DE700E" w:rsidP="00AF5CD5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0F64FC">
              <w:rPr>
                <w:rFonts w:ascii="Arial" w:hAnsi="Arial" w:cs="Arial"/>
                <w:sz w:val="18"/>
                <w:szCs w:val="16"/>
              </w:rPr>
              <w:t>Požadovaný počet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7E48" w14:textId="13F92668" w:rsidR="00DE700E" w:rsidRPr="000F64FC" w:rsidRDefault="00DE700E" w:rsidP="00A341D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F64FC">
              <w:rPr>
                <w:rFonts w:ascii="Arial" w:hAnsi="Arial" w:cs="Arial"/>
                <w:sz w:val="18"/>
                <w:szCs w:val="16"/>
              </w:rPr>
              <w:t>8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F64FC">
              <w:rPr>
                <w:rFonts w:ascii="Arial" w:hAnsi="Arial" w:cs="Arial"/>
                <w:sz w:val="18"/>
                <w:szCs w:val="16"/>
              </w:rPr>
              <w:t>ks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F00A" w14:textId="77777777" w:rsidR="00DE700E" w:rsidRPr="00C16AB6" w:rsidRDefault="00DE700E" w:rsidP="00AF5C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00E" w:rsidRPr="00C16AB6" w14:paraId="27B8E552" w14:textId="1678244D" w:rsidTr="00DE700E">
        <w:trPr>
          <w:cantSplit/>
          <w:trHeight w:val="42"/>
        </w:trPr>
        <w:tc>
          <w:tcPr>
            <w:tcW w:w="2191" w:type="dxa"/>
            <w:shd w:val="clear" w:color="auto" w:fill="auto"/>
          </w:tcPr>
          <w:p w14:paraId="6AC42972" w14:textId="52072711" w:rsidR="00DE700E" w:rsidRPr="000F64FC" w:rsidRDefault="00DE700E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0F64FC">
              <w:rPr>
                <w:rFonts w:ascii="Arial" w:hAnsi="Arial" w:cs="Arial"/>
                <w:sz w:val="18"/>
                <w:szCs w:val="16"/>
              </w:rPr>
              <w:t>Predplatné</w:t>
            </w:r>
          </w:p>
        </w:tc>
        <w:tc>
          <w:tcPr>
            <w:tcW w:w="7023" w:type="dxa"/>
            <w:shd w:val="clear" w:color="auto" w:fill="auto"/>
          </w:tcPr>
          <w:p w14:paraId="0276EEEF" w14:textId="19C9773D" w:rsidR="00DE700E" w:rsidRPr="000F64FC" w:rsidRDefault="00DE700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0F64FC">
              <w:rPr>
                <w:rFonts w:ascii="Arial" w:hAnsi="Arial" w:cs="Arial"/>
                <w:sz w:val="18"/>
                <w:szCs w:val="16"/>
                <w:lang w:val="sk-SK"/>
              </w:rPr>
              <w:t xml:space="preserve">na dobu minimálne 36 mesiacov </w:t>
            </w:r>
          </w:p>
        </w:tc>
        <w:tc>
          <w:tcPr>
            <w:tcW w:w="4820" w:type="dxa"/>
          </w:tcPr>
          <w:p w14:paraId="1A154AEF" w14:textId="124C0DB9" w:rsidR="00DE700E" w:rsidRPr="00C16AB6" w:rsidRDefault="00DE700E" w:rsidP="000976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DB8FE1" w14:textId="154D49A7" w:rsidR="00CE6CCF" w:rsidRPr="00C16AB6" w:rsidRDefault="00CE6CCF" w:rsidP="00AF5CD5">
      <w:pPr>
        <w:rPr>
          <w:rFonts w:ascii="Arial" w:hAnsi="Arial" w:cs="Arial"/>
        </w:rPr>
      </w:pPr>
    </w:p>
    <w:sectPr w:rsidR="00CE6CCF" w:rsidRPr="00C16AB6" w:rsidSect="000C69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21FCA" w14:textId="77777777" w:rsidR="00CD34BB" w:rsidRDefault="00CD34BB" w:rsidP="00B255B6">
      <w:pPr>
        <w:spacing w:after="0" w:line="240" w:lineRule="auto"/>
      </w:pPr>
      <w:r>
        <w:separator/>
      </w:r>
    </w:p>
  </w:endnote>
  <w:endnote w:type="continuationSeparator" w:id="0">
    <w:p w14:paraId="142CD787" w14:textId="77777777" w:rsidR="00CD34BB" w:rsidRDefault="00CD34BB" w:rsidP="00B2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9260725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EB8677" w14:textId="382CE880" w:rsidR="00AF5CD5" w:rsidRPr="00AF5CD5" w:rsidRDefault="00AF5CD5">
            <w:pPr>
              <w:pStyle w:val="Pta"/>
              <w:jc w:val="right"/>
              <w:rPr>
                <w:rFonts w:ascii="Arial" w:hAnsi="Arial" w:cs="Arial"/>
              </w:rPr>
            </w:pPr>
            <w:r w:rsidRPr="00AF5CD5">
              <w:rPr>
                <w:rFonts w:ascii="Arial" w:hAnsi="Arial" w:cs="Arial"/>
              </w:rPr>
              <w:t xml:space="preserve">Strana </w: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F5CD5">
              <w:rPr>
                <w:rFonts w:ascii="Arial" w:hAnsi="Arial" w:cs="Arial"/>
                <w:b/>
                <w:bCs/>
              </w:rPr>
              <w:instrText>PAGE</w:instrTex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45499">
              <w:rPr>
                <w:rFonts w:ascii="Arial" w:hAnsi="Arial" w:cs="Arial"/>
                <w:b/>
                <w:bCs/>
                <w:noProof/>
              </w:rPr>
              <w:t>13</w: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F5CD5">
              <w:rPr>
                <w:rFonts w:ascii="Arial" w:hAnsi="Arial" w:cs="Arial"/>
              </w:rPr>
              <w:t xml:space="preserve"> z </w: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F5CD5">
              <w:rPr>
                <w:rFonts w:ascii="Arial" w:hAnsi="Arial" w:cs="Arial"/>
                <w:b/>
                <w:bCs/>
              </w:rPr>
              <w:instrText>NUMPAGES</w:instrTex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45499">
              <w:rPr>
                <w:rFonts w:ascii="Arial" w:hAnsi="Arial" w:cs="Arial"/>
                <w:b/>
                <w:bCs/>
                <w:noProof/>
              </w:rPr>
              <w:t>13</w: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C190CF" w14:textId="77777777" w:rsidR="00AF5CD5" w:rsidRDefault="00AF5CD5" w:rsidP="00AF5CD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5978A" w14:textId="77777777" w:rsidR="00CD34BB" w:rsidRDefault="00CD34BB" w:rsidP="00B255B6">
      <w:pPr>
        <w:spacing w:after="0" w:line="240" w:lineRule="auto"/>
      </w:pPr>
      <w:r>
        <w:separator/>
      </w:r>
    </w:p>
  </w:footnote>
  <w:footnote w:type="continuationSeparator" w:id="0">
    <w:p w14:paraId="331D323F" w14:textId="77777777" w:rsidR="00CD34BB" w:rsidRDefault="00CD34BB" w:rsidP="00B2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2DBC"/>
    <w:multiLevelType w:val="multilevel"/>
    <w:tmpl w:val="A7D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7A3CC9"/>
    <w:multiLevelType w:val="multilevel"/>
    <w:tmpl w:val="30A6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000DB"/>
    <w:multiLevelType w:val="hybridMultilevel"/>
    <w:tmpl w:val="E2E4D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F04CE"/>
    <w:multiLevelType w:val="hybridMultilevel"/>
    <w:tmpl w:val="FDB47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4F16"/>
    <w:multiLevelType w:val="multilevel"/>
    <w:tmpl w:val="7FCA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915C3"/>
    <w:multiLevelType w:val="hybridMultilevel"/>
    <w:tmpl w:val="16BCA922"/>
    <w:lvl w:ilvl="0" w:tplc="FEE8D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0668E"/>
    <w:multiLevelType w:val="hybridMultilevel"/>
    <w:tmpl w:val="5232AB0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B2764"/>
    <w:multiLevelType w:val="hybridMultilevel"/>
    <w:tmpl w:val="E6A4CA60"/>
    <w:lvl w:ilvl="0" w:tplc="AF9456E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40037F"/>
    <w:multiLevelType w:val="hybridMultilevel"/>
    <w:tmpl w:val="BD9448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97C84"/>
    <w:multiLevelType w:val="hybridMultilevel"/>
    <w:tmpl w:val="3948F76C"/>
    <w:lvl w:ilvl="0" w:tplc="AF9456E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294"/>
    <w:multiLevelType w:val="multilevel"/>
    <w:tmpl w:val="DBD4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B7A25"/>
    <w:multiLevelType w:val="hybridMultilevel"/>
    <w:tmpl w:val="307A08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65A41"/>
    <w:multiLevelType w:val="hybridMultilevel"/>
    <w:tmpl w:val="73784EC2"/>
    <w:lvl w:ilvl="0" w:tplc="AF9456E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9"/>
  </w:num>
  <w:num w:numId="12">
    <w:abstractNumId w:val="14"/>
  </w:num>
  <w:num w:numId="13">
    <w:abstractNumId w:val="1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24"/>
    <w:rsid w:val="00002C5E"/>
    <w:rsid w:val="000147EB"/>
    <w:rsid w:val="00034FA3"/>
    <w:rsid w:val="00045227"/>
    <w:rsid w:val="000867C1"/>
    <w:rsid w:val="0009760F"/>
    <w:rsid w:val="000B6288"/>
    <w:rsid w:val="000C425C"/>
    <w:rsid w:val="000C696D"/>
    <w:rsid w:val="000E3340"/>
    <w:rsid w:val="000E577E"/>
    <w:rsid w:val="000F64FC"/>
    <w:rsid w:val="001000B1"/>
    <w:rsid w:val="001021CE"/>
    <w:rsid w:val="0011486A"/>
    <w:rsid w:val="0015089A"/>
    <w:rsid w:val="00184C62"/>
    <w:rsid w:val="00185FDE"/>
    <w:rsid w:val="00194FD3"/>
    <w:rsid w:val="001B336D"/>
    <w:rsid w:val="001B4AAB"/>
    <w:rsid w:val="001C25D5"/>
    <w:rsid w:val="001C7598"/>
    <w:rsid w:val="001E193A"/>
    <w:rsid w:val="001F3B2D"/>
    <w:rsid w:val="00222DB0"/>
    <w:rsid w:val="00223660"/>
    <w:rsid w:val="00245499"/>
    <w:rsid w:val="00247EC3"/>
    <w:rsid w:val="00256789"/>
    <w:rsid w:val="00257C95"/>
    <w:rsid w:val="002618FB"/>
    <w:rsid w:val="00262393"/>
    <w:rsid w:val="0026421B"/>
    <w:rsid w:val="00274B4E"/>
    <w:rsid w:val="002777B7"/>
    <w:rsid w:val="002948B3"/>
    <w:rsid w:val="002B0254"/>
    <w:rsid w:val="003363C7"/>
    <w:rsid w:val="0034496B"/>
    <w:rsid w:val="003530FD"/>
    <w:rsid w:val="003602F5"/>
    <w:rsid w:val="00364F88"/>
    <w:rsid w:val="0037451E"/>
    <w:rsid w:val="00381F9B"/>
    <w:rsid w:val="0039280D"/>
    <w:rsid w:val="003B147D"/>
    <w:rsid w:val="003D2306"/>
    <w:rsid w:val="004349D9"/>
    <w:rsid w:val="00444751"/>
    <w:rsid w:val="00460E92"/>
    <w:rsid w:val="00465CD6"/>
    <w:rsid w:val="00467424"/>
    <w:rsid w:val="004A1F9B"/>
    <w:rsid w:val="004A2E49"/>
    <w:rsid w:val="004B72C8"/>
    <w:rsid w:val="00501803"/>
    <w:rsid w:val="00546EBF"/>
    <w:rsid w:val="0054734C"/>
    <w:rsid w:val="00550AFF"/>
    <w:rsid w:val="00562B9B"/>
    <w:rsid w:val="00573642"/>
    <w:rsid w:val="005874CE"/>
    <w:rsid w:val="005F200E"/>
    <w:rsid w:val="005F550F"/>
    <w:rsid w:val="0060689A"/>
    <w:rsid w:val="0061304B"/>
    <w:rsid w:val="0064328D"/>
    <w:rsid w:val="00651E62"/>
    <w:rsid w:val="0065679C"/>
    <w:rsid w:val="006A687E"/>
    <w:rsid w:val="006C707C"/>
    <w:rsid w:val="006E320D"/>
    <w:rsid w:val="006F1B71"/>
    <w:rsid w:val="006F4902"/>
    <w:rsid w:val="00734302"/>
    <w:rsid w:val="00782152"/>
    <w:rsid w:val="00786D76"/>
    <w:rsid w:val="00796CDD"/>
    <w:rsid w:val="007C5663"/>
    <w:rsid w:val="007E19C5"/>
    <w:rsid w:val="007F00DE"/>
    <w:rsid w:val="007F0B3B"/>
    <w:rsid w:val="00803335"/>
    <w:rsid w:val="0082209F"/>
    <w:rsid w:val="00835BFB"/>
    <w:rsid w:val="00855686"/>
    <w:rsid w:val="0087589C"/>
    <w:rsid w:val="008808A1"/>
    <w:rsid w:val="00885846"/>
    <w:rsid w:val="00893633"/>
    <w:rsid w:val="00895BD8"/>
    <w:rsid w:val="008B2FB8"/>
    <w:rsid w:val="008B59A4"/>
    <w:rsid w:val="0090311C"/>
    <w:rsid w:val="00925431"/>
    <w:rsid w:val="00932835"/>
    <w:rsid w:val="0098285F"/>
    <w:rsid w:val="009E0776"/>
    <w:rsid w:val="009F0D85"/>
    <w:rsid w:val="00A05EE2"/>
    <w:rsid w:val="00A341DE"/>
    <w:rsid w:val="00A34C42"/>
    <w:rsid w:val="00AD7C98"/>
    <w:rsid w:val="00AE7E7F"/>
    <w:rsid w:val="00AF5CD5"/>
    <w:rsid w:val="00AF64DB"/>
    <w:rsid w:val="00B255B6"/>
    <w:rsid w:val="00B37C77"/>
    <w:rsid w:val="00B46309"/>
    <w:rsid w:val="00B669A0"/>
    <w:rsid w:val="00B93E09"/>
    <w:rsid w:val="00B9496E"/>
    <w:rsid w:val="00BC0494"/>
    <w:rsid w:val="00BC0C6E"/>
    <w:rsid w:val="00BD1C1F"/>
    <w:rsid w:val="00C16AB6"/>
    <w:rsid w:val="00C21EAB"/>
    <w:rsid w:val="00C37EBB"/>
    <w:rsid w:val="00C43E4F"/>
    <w:rsid w:val="00C71051"/>
    <w:rsid w:val="00C721B2"/>
    <w:rsid w:val="00C81372"/>
    <w:rsid w:val="00CA06DD"/>
    <w:rsid w:val="00CC1958"/>
    <w:rsid w:val="00CD34BB"/>
    <w:rsid w:val="00CE0ACE"/>
    <w:rsid w:val="00CE6CCF"/>
    <w:rsid w:val="00D3084F"/>
    <w:rsid w:val="00D55188"/>
    <w:rsid w:val="00D571E0"/>
    <w:rsid w:val="00D77FE0"/>
    <w:rsid w:val="00D83117"/>
    <w:rsid w:val="00DA2927"/>
    <w:rsid w:val="00DE700E"/>
    <w:rsid w:val="00DF68DE"/>
    <w:rsid w:val="00E45627"/>
    <w:rsid w:val="00E53408"/>
    <w:rsid w:val="00E6604F"/>
    <w:rsid w:val="00E946A6"/>
    <w:rsid w:val="00EE1653"/>
    <w:rsid w:val="00F03C6D"/>
    <w:rsid w:val="00F40C93"/>
    <w:rsid w:val="00F458EC"/>
    <w:rsid w:val="00FA28E6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8BF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0494"/>
  </w:style>
  <w:style w:type="paragraph" w:styleId="Nadpis1">
    <w:name w:val="heading 1"/>
    <w:basedOn w:val="Normlny"/>
    <w:next w:val="Normlny"/>
    <w:link w:val="Nadpis1Char"/>
    <w:uiPriority w:val="9"/>
    <w:qFormat/>
    <w:rsid w:val="0093283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3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BC0494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BC0494"/>
    <w:rPr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9328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Zhlavie4">
    <w:name w:val="Záhlavie #4_"/>
    <w:link w:val="Zhlavie41"/>
    <w:uiPriority w:val="99"/>
    <w:locked/>
    <w:rsid w:val="006E320D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6E320D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6E320D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32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ywebov">
    <w:name w:val="Normal (Web)"/>
    <w:basedOn w:val="Normlny"/>
    <w:uiPriority w:val="99"/>
    <w:unhideWhenUsed/>
    <w:rsid w:val="0064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4328D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B2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55B6"/>
  </w:style>
  <w:style w:type="paragraph" w:styleId="Pta">
    <w:name w:val="footer"/>
    <w:basedOn w:val="Normlny"/>
    <w:link w:val="PtaChar"/>
    <w:uiPriority w:val="99"/>
    <w:unhideWhenUsed/>
    <w:rsid w:val="00B2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55B6"/>
  </w:style>
  <w:style w:type="character" w:styleId="Odkaznakomentr">
    <w:name w:val="annotation reference"/>
    <w:basedOn w:val="Predvolenpsmoodseku"/>
    <w:uiPriority w:val="99"/>
    <w:semiHidden/>
    <w:unhideWhenUsed/>
    <w:rsid w:val="00247E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7E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7E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7E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7EC3"/>
    <w:rPr>
      <w:b/>
      <w:bCs/>
      <w:sz w:val="20"/>
      <w:szCs w:val="20"/>
    </w:rPr>
  </w:style>
  <w:style w:type="character" w:customStyle="1" w:styleId="s7">
    <w:name w:val="s7"/>
    <w:basedOn w:val="Predvolenpsmoodseku"/>
    <w:rsid w:val="001C25D5"/>
  </w:style>
  <w:style w:type="paragraph" w:styleId="Revzia">
    <w:name w:val="Revision"/>
    <w:hidden/>
    <w:uiPriority w:val="99"/>
    <w:semiHidden/>
    <w:rsid w:val="001C25D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F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40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92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68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50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73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80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9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59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3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99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28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63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4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4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90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85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91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246D-21F0-472B-A94E-284E2068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3491</Words>
  <Characters>19902</Characters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2024-04-15T11:15:00Z</dcterms:created>
  <dcterms:modified xsi:type="dcterms:W3CDTF">2024-04-15T11:20:00Z</dcterms:modified>
</cp:coreProperties>
</file>