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6D541" w14:textId="121C9A13" w:rsidR="00DA5264" w:rsidRPr="003C1A6E" w:rsidRDefault="00DA5264" w:rsidP="00DA5264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Pr="003C1A6E">
        <w:rPr>
          <w:b/>
          <w:bCs/>
        </w:rPr>
        <w:t>úpna zmluva</w:t>
      </w:r>
      <w:r>
        <w:rPr>
          <w:b/>
          <w:bCs/>
        </w:rPr>
        <w:t xml:space="preserve"> č.: </w:t>
      </w:r>
      <w:r w:rsidRPr="002D571D">
        <w:rPr>
          <w:b/>
          <w:bCs/>
        </w:rPr>
        <w:t>[●]/202</w:t>
      </w:r>
      <w:r w:rsidR="00D11443">
        <w:rPr>
          <w:b/>
          <w:bCs/>
        </w:rPr>
        <w:t>4</w:t>
      </w:r>
    </w:p>
    <w:p w14:paraId="2AE00053" w14:textId="0DA9AD78" w:rsidR="00DA5264" w:rsidRPr="00DA292F" w:rsidRDefault="00DA5264" w:rsidP="00DA526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nasl.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6E7929B2" w14:textId="77777777" w:rsidR="00DA5264" w:rsidRPr="00281ED6" w:rsidRDefault="00DA5264" w:rsidP="00DA5264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DA5264" w14:paraId="20A5E481" w14:textId="77777777" w:rsidTr="005932D2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9417EAF" w14:textId="77777777" w:rsidR="00DA5264" w:rsidRPr="003C1A6E" w:rsidRDefault="00DA5264" w:rsidP="005932D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A5264" w14:paraId="1DC1A8A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73BF60B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25ABAEA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A5264" w14:paraId="30BC7A7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2970F6DA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DBAC24A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A5264" w14:paraId="42970DA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49B2B1C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75BAA09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A5264" w14:paraId="2278A7A8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7F4DA6D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76C57FF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2DD9EAA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09C49F97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572B293D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5E2E9F48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C0B7B7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F8CF8B8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045B96C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DA1717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58B8433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39F093D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48B4530B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8E2A569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DA5264" w14:paraId="2A4EA166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5D65ACF9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20A9B9EE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64DA116B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259299E7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426F037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06373F7F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CDB32DB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03AAE23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08BA941" w14:textId="77777777" w:rsidR="00DA5264" w:rsidRPr="003C1A6E" w:rsidRDefault="00DA5264" w:rsidP="00DA5264">
      <w:pPr>
        <w:pStyle w:val="Default"/>
        <w:jc w:val="both"/>
        <w:rPr>
          <w:sz w:val="10"/>
          <w:szCs w:val="10"/>
        </w:rPr>
      </w:pPr>
    </w:p>
    <w:p w14:paraId="58E8EC57" w14:textId="77777777" w:rsidR="00DA5264" w:rsidRPr="003C1A6E" w:rsidRDefault="00DA5264" w:rsidP="00DA5264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ABFBB9D" w14:textId="77777777" w:rsidR="00DA5264" w:rsidRPr="003C1A6E" w:rsidRDefault="00DA5264" w:rsidP="00DA5264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DA5264" w14:paraId="56796E6B" w14:textId="77777777" w:rsidTr="005932D2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88D7976" w14:textId="77777777" w:rsidR="00DA5264" w:rsidRPr="003C1A6E" w:rsidRDefault="00DA5264" w:rsidP="005932D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A5264" w14:paraId="68212EC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0B8DF4D0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5FF57F4A" w14:textId="77777777" w:rsidR="00DA5264" w:rsidRPr="003C1A6E" w:rsidRDefault="00DA5264" w:rsidP="005932D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A5264" w14:paraId="4A533F6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5C0C2331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8AEF0A8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72743D25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76B48BF0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7696C81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12F335A7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705A9BB1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5F13BAD4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0EAD54DC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175E0AF5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DD710D4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483BC784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2A9D261C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69CBBDC3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4B7B560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861FF73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2291B938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625A54A4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55A0760E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07DDC850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1D5A7BC1" w14:textId="77777777" w:rsidTr="005932D2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3E6DFE88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1CCA70EA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2610C5B1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334A5E2D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70BADA1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A5264" w14:paraId="7F95F769" w14:textId="77777777" w:rsidTr="005932D2">
        <w:tc>
          <w:tcPr>
            <w:tcW w:w="1696" w:type="dxa"/>
            <w:shd w:val="clear" w:color="auto" w:fill="D9D9D9" w:themeFill="background1" w:themeFillShade="D9"/>
          </w:tcPr>
          <w:p w14:paraId="6C7CE6B9" w14:textId="77777777" w:rsidR="00DA5264" w:rsidRPr="003C1A6E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EAC35BB" w14:textId="77777777" w:rsidR="00DA5264" w:rsidRPr="00531F14" w:rsidRDefault="00DA5264" w:rsidP="005932D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74164FE" w14:textId="77777777" w:rsidR="00DA5264" w:rsidRDefault="00DA5264" w:rsidP="00DA526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62CC22D6" w14:textId="77777777" w:rsidR="00DA5264" w:rsidRDefault="00DA5264" w:rsidP="00DA526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C615F48" w14:textId="77777777" w:rsidR="00DA5264" w:rsidRPr="00331CB6" w:rsidRDefault="00DA5264" w:rsidP="00DA5264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E912A71" w14:textId="77777777" w:rsidR="00DA5264" w:rsidRPr="000857A3" w:rsidRDefault="00DA5264" w:rsidP="00DA5264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3216105C" w14:textId="77777777" w:rsidR="00DA5264" w:rsidRPr="000857A3" w:rsidRDefault="00DA5264" w:rsidP="00DA5264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DA5264" w:rsidRPr="000857A3" w14:paraId="755D9FE8" w14:textId="77777777" w:rsidTr="005932D2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137E7510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DA5264" w:rsidRPr="000857A3" w14:paraId="2238979E" w14:textId="77777777" w:rsidTr="005932D2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23CC70DB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1258D9" w14:textId="1DC9F28F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</w:t>
            </w:r>
            <w:r w:rsidR="00D11443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D11443" w:rsidRPr="00D114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Mobilné telefóny, tablety a príslušenstvo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“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E76E1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58788DAD" w14:textId="4D2D1754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="00D11443">
              <w:rPr>
                <w:rFonts w:ascii="Arial" w:hAnsi="Arial" w:cs="Arial"/>
                <w:sz w:val="18"/>
                <w:szCs w:val="18"/>
              </w:rPr>
              <w:t xml:space="preserve">mobilných telefónov, tabletov a príslušenstva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D1144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23E00DB3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7A5C6C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A5264" w:rsidRPr="000857A3" w14:paraId="6FD3CA98" w14:textId="77777777" w:rsidTr="005932D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01D4FF4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2F912F64" w14:textId="13A61C54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dodať kupujúcemu tovar najneskôr do </w:t>
            </w:r>
            <w:r w:rsidR="00D11443">
              <w:rPr>
                <w:rFonts w:ascii="Arial" w:hAnsi="Arial" w:cs="Arial"/>
                <w:sz w:val="18"/>
                <w:szCs w:val="18"/>
              </w:rPr>
              <w:t>desiatich (10) pracovných dní</w:t>
            </w:r>
            <w:r>
              <w:rPr>
                <w:rFonts w:ascii="Arial" w:hAnsi="Arial" w:cs="Arial"/>
                <w:sz w:val="18"/>
                <w:szCs w:val="18"/>
              </w:rPr>
              <w:t xml:space="preserve"> odo dňa doručenia objednávky.</w:t>
            </w:r>
          </w:p>
        </w:tc>
      </w:tr>
      <w:tr w:rsidR="00DA5264" w:rsidRPr="000857A3" w14:paraId="04514E75" w14:textId="77777777" w:rsidTr="002C0B4C">
        <w:trPr>
          <w:trHeight w:val="208"/>
        </w:trPr>
        <w:tc>
          <w:tcPr>
            <w:tcW w:w="1842" w:type="dxa"/>
            <w:shd w:val="clear" w:color="auto" w:fill="D9D9D9" w:themeFill="background1" w:themeFillShade="D9"/>
          </w:tcPr>
          <w:p w14:paraId="2B101D0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24379B66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DA5264" w:rsidRPr="000857A3" w14:paraId="107E2D2B" w14:textId="77777777" w:rsidTr="005932D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E3B8D09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0D9E6465" w14:textId="3EB0153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 </w:t>
            </w:r>
          </w:p>
        </w:tc>
      </w:tr>
      <w:tr w:rsidR="00DA5264" w:rsidRPr="000857A3" w14:paraId="2D550713" w14:textId="77777777" w:rsidTr="005932D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397801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761AF342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F32E8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464DAF90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1FD33A1" w14:textId="77777777" w:rsidR="00DA5264" w:rsidRPr="000857A3" w:rsidRDefault="00DA5264" w:rsidP="00DA526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9B26527" w14:textId="77777777" w:rsidR="00DA5264" w:rsidRPr="000857A3" w:rsidRDefault="00DA5264" w:rsidP="00DA5264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DA5264" w:rsidRPr="000857A3" w14:paraId="3BD99600" w14:textId="77777777" w:rsidTr="005932D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2BDF75D1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6B794F0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A5264" w:rsidRPr="000857A3" w14:paraId="637D1AF2" w14:textId="77777777" w:rsidTr="005932D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255C5D89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DA5264" w:rsidRPr="000857A3" w14:paraId="4E2F7645" w14:textId="77777777" w:rsidTr="005932D2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517FAF5F" w14:textId="77777777" w:rsidR="00DA5264" w:rsidRPr="00F01B46" w:rsidRDefault="00DA5264" w:rsidP="005932D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2A77BA36" w14:textId="77777777" w:rsidR="00DA5264" w:rsidRPr="000857A3" w:rsidRDefault="00DA5264" w:rsidP="005932D2">
            <w:pPr>
              <w:pStyle w:val="Bezriadkovania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907F1" w14:textId="77777777" w:rsidR="00DA5264" w:rsidRPr="000857A3" w:rsidRDefault="00DA5264" w:rsidP="00DA5264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5A1257FB" w14:textId="77777777" w:rsidR="00DA5264" w:rsidRDefault="00DA5264" w:rsidP="00DA5264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258EA347" w14:textId="091A6472" w:rsidR="00DA5264" w:rsidRDefault="00DA5264" w:rsidP="0024640F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  <w:r w:rsidRPr="00310EA8">
        <w:rPr>
          <w:rFonts w:ascii="Arial" w:hAnsi="Arial" w:cs="Arial"/>
          <w:sz w:val="18"/>
          <w:szCs w:val="18"/>
        </w:rPr>
        <w:t xml:space="preserve"> </w:t>
      </w:r>
      <w:r w:rsidRPr="00204355">
        <w:rPr>
          <w:rFonts w:ascii="Arial" w:hAnsi="Arial" w:cs="Arial"/>
          <w:sz w:val="18"/>
          <w:szCs w:val="18"/>
        </w:rPr>
        <w:t xml:space="preserve">Zmluvné strany sa dohodli, že táto zmluva je zmluvou rámcovou a ustanovenia tejto zmluvy nemožno vykladať ako povinnosť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objednať si </w:t>
      </w:r>
      <w:r w:rsidRPr="00204355">
        <w:rPr>
          <w:rFonts w:ascii="Arial" w:hAnsi="Arial" w:cs="Arial"/>
          <w:sz w:val="18"/>
          <w:szCs w:val="18"/>
        </w:rPr>
        <w:lastRenderedPageBreak/>
        <w:t>u</w:t>
      </w:r>
      <w:r>
        <w:rPr>
          <w:rFonts w:ascii="Arial" w:hAnsi="Arial" w:cs="Arial"/>
          <w:sz w:val="18"/>
          <w:szCs w:val="18"/>
        </w:rPr>
        <w:t> predávajúceho tovar</w:t>
      </w:r>
      <w:r w:rsidRPr="00204355">
        <w:rPr>
          <w:rFonts w:ascii="Arial" w:hAnsi="Arial" w:cs="Arial"/>
          <w:sz w:val="18"/>
          <w:szCs w:val="18"/>
        </w:rPr>
        <w:t xml:space="preserve">.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uvedené v tejto zmluve nie je pre </w:t>
      </w:r>
      <w:r>
        <w:rPr>
          <w:rFonts w:ascii="Arial" w:hAnsi="Arial" w:cs="Arial"/>
          <w:sz w:val="18"/>
          <w:szCs w:val="18"/>
        </w:rPr>
        <w:t>kupujúceho</w:t>
      </w:r>
      <w:r w:rsidRPr="00204355">
        <w:rPr>
          <w:rFonts w:ascii="Arial" w:hAnsi="Arial" w:cs="Arial"/>
          <w:sz w:val="18"/>
          <w:szCs w:val="18"/>
        </w:rPr>
        <w:t xml:space="preserve"> záväzné. Skutočne objednané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počas trvania tejto zmluvy môže byť nižšie alebo vyššie ako predpokladané množstvo </w:t>
      </w:r>
      <w:r>
        <w:rPr>
          <w:rFonts w:ascii="Arial" w:hAnsi="Arial" w:cs="Arial"/>
          <w:sz w:val="18"/>
          <w:szCs w:val="18"/>
        </w:rPr>
        <w:t>tovaru</w:t>
      </w:r>
      <w:r w:rsidRPr="00204355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kupujúci</w:t>
      </w:r>
      <w:r w:rsidRPr="00204355">
        <w:rPr>
          <w:rFonts w:ascii="Arial" w:hAnsi="Arial" w:cs="Arial"/>
          <w:sz w:val="18"/>
          <w:szCs w:val="18"/>
        </w:rPr>
        <w:t xml:space="preserve"> si vyhradzuje právo neobjednať </w:t>
      </w:r>
      <w:r>
        <w:rPr>
          <w:rFonts w:ascii="Arial" w:hAnsi="Arial" w:cs="Arial"/>
          <w:sz w:val="18"/>
          <w:szCs w:val="18"/>
        </w:rPr>
        <w:t>tovar</w:t>
      </w:r>
      <w:r w:rsidRPr="00204355">
        <w:rPr>
          <w:rFonts w:ascii="Arial" w:hAnsi="Arial" w:cs="Arial"/>
          <w:sz w:val="18"/>
          <w:szCs w:val="18"/>
        </w:rPr>
        <w:t>. Predmetom fakturácie bud</w:t>
      </w:r>
      <w:r>
        <w:rPr>
          <w:rFonts w:ascii="Arial" w:hAnsi="Arial" w:cs="Arial"/>
          <w:sz w:val="18"/>
          <w:szCs w:val="18"/>
        </w:rPr>
        <w:t>e</w:t>
      </w:r>
      <w:r w:rsidRPr="00204355">
        <w:rPr>
          <w:rFonts w:ascii="Arial" w:hAnsi="Arial" w:cs="Arial"/>
          <w:sz w:val="18"/>
          <w:szCs w:val="18"/>
        </w:rPr>
        <w:t xml:space="preserve"> len skutočne </w:t>
      </w:r>
      <w:r>
        <w:rPr>
          <w:rFonts w:ascii="Arial" w:hAnsi="Arial" w:cs="Arial"/>
          <w:sz w:val="18"/>
          <w:szCs w:val="18"/>
        </w:rPr>
        <w:t>dodaný tovar.</w:t>
      </w:r>
    </w:p>
    <w:p w14:paraId="1F42BCBC" w14:textId="77777777" w:rsidR="0024640F" w:rsidRPr="0024640F" w:rsidRDefault="0024640F" w:rsidP="0024640F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C1A94C9" w14:textId="77777777" w:rsidR="00DA5264" w:rsidRPr="000857A3" w:rsidRDefault="00DA5264" w:rsidP="00DA5264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2CAD37C" w14:textId="77777777" w:rsidR="00DA5264" w:rsidRPr="000857A3" w:rsidRDefault="00DA5264" w:rsidP="00DA5264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 zmluvy</w:t>
      </w:r>
      <w:r w:rsidRPr="008301C6">
        <w:rPr>
          <w:sz w:val="18"/>
          <w:szCs w:val="18"/>
        </w:rPr>
        <w:t xml:space="preserve"> </w:t>
      </w:r>
      <w:r w:rsidRPr="006F1CED">
        <w:rPr>
          <w:sz w:val="18"/>
          <w:szCs w:val="18"/>
        </w:rPr>
        <w:t>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>
        <w:rPr>
          <w:i/>
          <w:iCs/>
          <w:sz w:val="18"/>
          <w:szCs w:val="18"/>
        </w:rPr>
        <w:t xml:space="preserve"> eur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</w:t>
      </w:r>
      <w:r>
        <w:rPr>
          <w:sz w:val="18"/>
          <w:szCs w:val="18"/>
        </w:rPr>
        <w:t>.</w:t>
      </w:r>
      <w:r w:rsidRPr="000857A3">
        <w:rPr>
          <w:sz w:val="18"/>
          <w:szCs w:val="18"/>
        </w:rPr>
        <w:t xml:space="preserve"> </w:t>
      </w:r>
    </w:p>
    <w:p w14:paraId="4A202E9D" w14:textId="77777777" w:rsidR="00DA5264" w:rsidRPr="000857A3" w:rsidRDefault="00DA5264" w:rsidP="00DA5264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FA90C75" w14:textId="77777777" w:rsidR="00DA5264" w:rsidRPr="000857A3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234FD306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485F63F2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0E8A21CB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643F2B48" w14:textId="77777777" w:rsidR="00DA5264" w:rsidRPr="000857A3" w:rsidRDefault="00DA5264" w:rsidP="00DA5264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o spracúvaní osobných údajov je možné nájsť aj na webovom sídle 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666C4E62" w14:textId="77777777" w:rsidR="00DA5264" w:rsidRPr="000857A3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6407EEA6" w14:textId="77777777" w:rsidR="00DA5264" w:rsidRPr="000857A3" w:rsidRDefault="00DA5264" w:rsidP="00DA5264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1F5B4979" w14:textId="77777777" w:rsidR="00DA5264" w:rsidRPr="000857A3" w:rsidRDefault="00DA5264" w:rsidP="00DA5264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0C1E6168" w14:textId="77777777" w:rsidR="00DA5264" w:rsidRPr="000857A3" w:rsidRDefault="00DA5264" w:rsidP="00DA5264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048B79F9" w14:textId="77777777" w:rsidR="00DA5264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5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75D2F8DB" w14:textId="77777777" w:rsidR="00DA5264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39A1DAA0" w14:textId="77777777" w:rsidR="00DA5264" w:rsidRPr="005E1922" w:rsidRDefault="00DA5264" w:rsidP="00DA5264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114D09B7" w14:textId="77777777" w:rsidR="00DA5264" w:rsidRPr="000857A3" w:rsidRDefault="00DA5264" w:rsidP="00DA5264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DA5264" w:rsidRPr="000857A3" w14:paraId="18BF4558" w14:textId="77777777" w:rsidTr="005932D2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537A5FE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DA5264" w:rsidRPr="000857A3" w14:paraId="5AE6F011" w14:textId="77777777" w:rsidTr="005932D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CD3FB8F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6B669ECC" w14:textId="0776B335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DA5264" w:rsidRPr="000857A3" w14:paraId="7C1A88BF" w14:textId="77777777" w:rsidTr="005932D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894B508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2BF1F396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20FCFDA0" w14:textId="77777777" w:rsidR="00DA5264" w:rsidRPr="000857A3" w:rsidRDefault="00DA5264" w:rsidP="00DA5264">
      <w:pPr>
        <w:pStyle w:val="Default"/>
        <w:ind w:left="567"/>
        <w:jc w:val="both"/>
        <w:rPr>
          <w:sz w:val="18"/>
          <w:szCs w:val="18"/>
        </w:rPr>
      </w:pPr>
    </w:p>
    <w:p w14:paraId="249AAEE1" w14:textId="77777777" w:rsidR="00DA5264" w:rsidRPr="005E1922" w:rsidRDefault="00DA5264" w:rsidP="00DA5264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5D33B9B7" w14:textId="77777777" w:rsidR="00DA5264" w:rsidRPr="000857A3" w:rsidRDefault="00DA5264" w:rsidP="00DA5264">
      <w:pPr>
        <w:pStyle w:val="Default"/>
        <w:jc w:val="both"/>
        <w:rPr>
          <w:sz w:val="18"/>
          <w:szCs w:val="18"/>
        </w:rPr>
      </w:pPr>
    </w:p>
    <w:bookmarkEnd w:id="1"/>
    <w:p w14:paraId="2468825D" w14:textId="77777777" w:rsidR="00DA5264" w:rsidRPr="000857A3" w:rsidRDefault="00DA5264" w:rsidP="00DA526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264" w:rsidRPr="000857A3" w14:paraId="5F2B2743" w14:textId="77777777" w:rsidTr="005932D2">
        <w:tc>
          <w:tcPr>
            <w:tcW w:w="4814" w:type="dxa"/>
          </w:tcPr>
          <w:p w14:paraId="585DFE4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28F1CBFB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A5264" w:rsidRPr="000857A3" w14:paraId="3635E211" w14:textId="77777777" w:rsidTr="005932D2">
        <w:tc>
          <w:tcPr>
            <w:tcW w:w="4814" w:type="dxa"/>
          </w:tcPr>
          <w:p w14:paraId="158E0F55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EEE921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97241C6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5217E7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6BE3F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16507B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41A43EB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6EAC61EA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66353C27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3517E9C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72E35E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A894592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3EC343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5B748" w14:textId="77777777" w:rsidR="00DA5264" w:rsidRPr="000857A3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E52C1B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CD9F7AD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0FF88F5" w14:textId="77777777" w:rsidR="00DA5264" w:rsidRPr="000857A3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A5264" w14:paraId="76DA1A34" w14:textId="77777777" w:rsidTr="005932D2">
        <w:tc>
          <w:tcPr>
            <w:tcW w:w="4814" w:type="dxa"/>
          </w:tcPr>
          <w:p w14:paraId="4C2E6F75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76A7B5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0C9A2D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1839EDF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3172816B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DBA664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8AF200" w14:textId="77777777" w:rsidR="00DA5264" w:rsidRDefault="00DA5264" w:rsidP="005932D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2DDE0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7B6C3E0" w14:textId="77777777" w:rsidR="00DA5264" w:rsidRPr="00281ED6" w:rsidRDefault="00DA5264" w:rsidP="005932D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98538A0" w14:textId="77777777" w:rsidR="00DA5264" w:rsidRDefault="00DA5264" w:rsidP="005932D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018A0D7" w14:textId="77777777" w:rsidR="00D07410" w:rsidRDefault="00D07410"/>
    <w:sectPr w:rsidR="00D07410" w:rsidSect="00DA5264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1795706896">
    <w:abstractNumId w:val="4"/>
  </w:num>
  <w:num w:numId="4" w16cid:durableId="625938229">
    <w:abstractNumId w:val="2"/>
  </w:num>
  <w:num w:numId="5" w16cid:durableId="437454213">
    <w:abstractNumId w:val="5"/>
  </w:num>
  <w:num w:numId="6" w16cid:durableId="123006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64"/>
    <w:rsid w:val="0015296D"/>
    <w:rsid w:val="0024640F"/>
    <w:rsid w:val="002C0B4C"/>
    <w:rsid w:val="006D497B"/>
    <w:rsid w:val="00D07410"/>
    <w:rsid w:val="00D11443"/>
    <w:rsid w:val="00DA5264"/>
    <w:rsid w:val="00DC2CE0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8B0B"/>
  <w15:chartTrackingRefBased/>
  <w15:docId w15:val="{31E10C86-F814-4801-8D64-D7CEE3C0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5264"/>
  </w:style>
  <w:style w:type="paragraph" w:styleId="Nadpis1">
    <w:name w:val="heading 1"/>
    <w:basedOn w:val="Normlny"/>
    <w:next w:val="Normlny"/>
    <w:link w:val="Nadpis1Char"/>
    <w:uiPriority w:val="9"/>
    <w:qFormat/>
    <w:rsid w:val="00DA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5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5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52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52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52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52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52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52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5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5264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A52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52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52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5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A5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A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A5264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DA5264"/>
  </w:style>
  <w:style w:type="character" w:styleId="Hypertextovprepojenie">
    <w:name w:val="Hyperlink"/>
    <w:basedOn w:val="Predvolenpsmoodseku"/>
    <w:uiPriority w:val="99"/>
    <w:unhideWhenUsed/>
    <w:rsid w:val="00DA52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Richterová Tímea</cp:lastModifiedBy>
  <cp:revision>7</cp:revision>
  <dcterms:created xsi:type="dcterms:W3CDTF">2024-05-06T06:32:00Z</dcterms:created>
  <dcterms:modified xsi:type="dcterms:W3CDTF">2024-05-06T07:08:00Z</dcterms:modified>
</cp:coreProperties>
</file>