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65ACFFF9"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4"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p>
    <w:bookmarkEnd w:id="4"/>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5"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5"/>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6" w:name="_Hlk166742161"/>
      <w:r w:rsidR="00353176" w:rsidRPr="00420C9D">
        <w:rPr>
          <w:rFonts w:ascii="Arial" w:hAnsi="Arial" w:cs="Arial"/>
          <w:sz w:val="20"/>
          <w:szCs w:val="20"/>
        </w:rPr>
        <w:t>SPSRSKBA</w:t>
      </w:r>
      <w:bookmarkEnd w:id="6"/>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7"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7"/>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8"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8"/>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9"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9"/>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0"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0"/>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1"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1"/>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2"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2"/>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3"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3"/>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4"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4"/>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5"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5"/>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6"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6"/>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17"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17"/>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0BB7226D"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822/2014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8" w:name="_Hlk161748611"/>
      <w:r w:rsidR="008C791B" w:rsidRPr="00420C9D">
        <w:rPr>
          <w:rFonts w:ascii="Arial" w:eastAsia="Times New Roman" w:hAnsi="Arial" w:cs="Arial"/>
          <w:sz w:val="20"/>
          <w:szCs w:val="20"/>
        </w:rPr>
        <w:t>ako skeny originálov alebo úradne osvedčených  fotokópií týchto dokumentov.</w:t>
      </w:r>
      <w:bookmarkEnd w:id="18"/>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9"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19"/>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0" w:name="_Hlk170295351"/>
      <w:r>
        <w:rPr>
          <w:rFonts w:ascii="Arial" w:hAnsi="Arial" w:cs="Arial"/>
          <w:sz w:val="20"/>
          <w:szCs w:val="20"/>
          <w:shd w:val="clear" w:color="auto" w:fill="FFFFFF"/>
        </w:rPr>
        <w:t>Verejný obstarávateľ vyhodnotí žiadosti o účasti podľa § 40 zákona o verejnom obstarávaní.</w:t>
      </w:r>
      <w:bookmarkEnd w:id="20"/>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1"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1"/>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2"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2"/>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1DDAD7EE"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3"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3"/>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0"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0"/>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1"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1"/>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2"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2"/>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3"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44"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77777777"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2022/578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44"/>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3"/>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26186444"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z uza</w:t>
      </w:r>
      <w:r w:rsidR="009744BB">
        <w:rPr>
          <w:rFonts w:ascii="Arial" w:hAnsi="Arial" w:cs="Arial"/>
          <w:sz w:val="20"/>
          <w:szCs w:val="20"/>
        </w:rPr>
        <w:t>vretia</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44937C9A"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25B05E22"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45" w:name="_Hlk161737951"/>
      <w:r w:rsidRPr="00420C9D">
        <w:rPr>
          <w:rFonts w:ascii="Arial" w:eastAsia="Times New Roman" w:hAnsi="Arial" w:cs="Arial"/>
          <w:b/>
          <w:sz w:val="20"/>
          <w:szCs w:val="20"/>
        </w:rPr>
        <w:t>Zväzok 2 súťažných podkladov</w:t>
      </w:r>
      <w:bookmarkEnd w:id="45"/>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k 1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106D1186"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9E61AB" w:rsidRPr="00420C9D">
        <w:rPr>
          <w:rFonts w:ascii="Arial" w:hAnsi="Arial" w:cs="Arial"/>
          <w:sz w:val="20"/>
          <w:szCs w:val="20"/>
        </w:rPr>
        <w:t>4</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 xml:space="preserve">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46"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46"/>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47"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47"/>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8"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48"/>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9"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0"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0"/>
    </w:p>
    <w:bookmarkEnd w:id="49"/>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1"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1"/>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48373E43"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25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6390E9C9"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2pt;height:20.25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25pt" o:ole="">
                  <v:imagedata r:id="rId26"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44DABF10"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2pt;height:20.25pt" o:ole="">
                  <v:imagedata r:id="rId31" o:title=""/>
                </v:shape>
                <w:control r:id="rId32"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25pt" o:ole="">
                  <v:imagedata r:id="rId26" o:title=""/>
                </v:shape>
                <w:control r:id="rId33"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25pt" o:ole="">
                  <v:imagedata r:id="rId34" o:title=""/>
                </v:shape>
                <w:control r:id="rId35"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379AB919"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2pt;height:20.25pt" o:ole="">
                  <v:imagedata r:id="rId36" o:title=""/>
                </v:shape>
                <w:control r:id="rId37"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25pt" o:ole="">
                  <v:imagedata r:id="rId26" o:title=""/>
                </v:shape>
                <w:control r:id="rId38"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1E7A7BFF"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2pt;height:20.25pt" o:ole="">
                  <v:imagedata r:id="rId39" o:title=""/>
                </v:shape>
                <w:control r:id="rId40"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25pt" o:ole="">
                  <v:imagedata r:id="rId26" o:title=""/>
                </v:shape>
                <w:control r:id="rId41"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2A84287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2pt;height:20.25pt" o:ole="">
                  <v:imagedata r:id="rId42" o:title=""/>
                </v:shape>
                <w:control r:id="rId43"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25pt" o:ole="">
                  <v:imagedata r:id="rId26" o:title=""/>
                </v:shape>
                <w:control r:id="rId44"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3A828AB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2pt;height:20.25pt" o:ole="">
                  <v:imagedata r:id="rId36" o:title=""/>
                </v:shape>
                <w:control r:id="rId45"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25pt" o:ole="">
                  <v:imagedata r:id="rId26" o:title=""/>
                </v:shape>
                <w:control r:id="rId46"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637C7D0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2pt;height:20.25pt" o:ole="">
                  <v:imagedata r:id="rId31" o:title=""/>
                </v:shape>
                <w:control r:id="rId47"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25pt" o:ole="">
                  <v:imagedata r:id="rId26" o:title=""/>
                </v:shape>
                <w:control r:id="rId48"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651DC7D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2pt;height:20.25pt" o:ole="">
                  <v:imagedata r:id="rId39" o:title=""/>
                </v:shape>
                <w:control r:id="rId49"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25pt" o:ole="">
                  <v:imagedata r:id="rId26" o:title=""/>
                </v:shape>
                <w:control r:id="rId50"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73581DB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2pt;height:20.25pt" o:ole="">
                  <v:imagedata r:id="rId51" o:title=""/>
                </v:shape>
                <w:control r:id="rId52"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25pt" o:ole="">
                  <v:imagedata r:id="rId26" o:title=""/>
                </v:shape>
                <w:control r:id="rId53"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66455BC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2pt;height:20.25pt" o:ole="">
                  <v:imagedata r:id="rId42" o:title=""/>
                </v:shape>
                <w:control r:id="rId54"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25pt" o:ole="">
                  <v:imagedata r:id="rId26" o:title=""/>
                </v:shape>
                <w:control r:id="rId55"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6C71A560"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2pt;height:20.25pt" o:ole="">
                  <v:imagedata r:id="rId51" o:title=""/>
                </v:shape>
                <w:control r:id="rId56"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25pt" o:ole="">
                  <v:imagedata r:id="rId26" o:title=""/>
                </v:shape>
                <w:control r:id="rId57"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2A3D1C6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2pt;height:20.25pt" o:ole="">
                  <v:imagedata r:id="rId31" o:title=""/>
                </v:shape>
                <w:control r:id="rId58"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25pt" o:ole="">
                  <v:imagedata r:id="rId59" o:title=""/>
                </v:shape>
                <w:control r:id="rId60"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7F6FC51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2pt;height:20.25pt" o:ole="">
                  <v:imagedata r:id="rId36" o:title=""/>
                </v:shape>
                <w:control r:id="rId61"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25pt" o:ole="">
                  <v:imagedata r:id="rId62" o:title=""/>
                </v:shape>
                <w:control r:id="rId63"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1932273E"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2pt;height:20.25pt" o:ole="">
                  <v:imagedata r:id="rId42" o:title=""/>
                </v:shape>
                <w:control r:id="rId64"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25pt" o:ole="">
                  <v:imagedata r:id="rId26" o:title=""/>
                </v:shape>
                <w:control r:id="rId65"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774AA11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2pt;height:20.25pt" o:ole="">
                  <v:imagedata r:id="rId36" o:title=""/>
                </v:shape>
                <w:control r:id="rId66"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25pt" o:ole="">
                  <v:imagedata r:id="rId26" o:title=""/>
                </v:shape>
                <w:control r:id="rId67"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7B801CC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2pt;height:20.25pt" o:ole="">
                  <v:imagedata r:id="rId36" o:title=""/>
                </v:shape>
                <w:control r:id="rId68"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25pt" o:ole="">
                  <v:imagedata r:id="rId26" o:title=""/>
                </v:shape>
                <w:control r:id="rId69"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7E2ED8C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2pt;height:20.25pt" o:ole="">
                  <v:imagedata r:id="rId51" o:title=""/>
                </v:shape>
                <w:control r:id="rId70"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25pt" o:ole="">
                  <v:imagedata r:id="rId26" o:title=""/>
                </v:shape>
                <w:control r:id="rId71"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7343E8E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2pt;height:20.25pt" o:ole="">
                  <v:imagedata r:id="rId31" o:title=""/>
                </v:shape>
                <w:control r:id="rId72"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25pt" o:ole="">
                  <v:imagedata r:id="rId26" o:title=""/>
                </v:shape>
                <w:control r:id="rId73"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7A3FE74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2pt;height:20.25pt" o:ole="">
                  <v:imagedata r:id="rId42" o:title=""/>
                </v:shape>
                <w:control r:id="rId74"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25pt" o:ole="">
                  <v:imagedata r:id="rId26" o:title=""/>
                </v:shape>
                <w:control r:id="rId75"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200431D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2pt;height:20.25pt" o:ole="">
                  <v:imagedata r:id="rId76" o:title=""/>
                </v:shape>
                <w:control r:id="rId77"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25pt" o:ole="">
                  <v:imagedata r:id="rId26" o:title=""/>
                </v:shape>
                <w:control r:id="rId78"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2F571ED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2pt;height:20.25pt" o:ole="">
                  <v:imagedata r:id="rId42" o:title=""/>
                </v:shape>
                <w:control r:id="rId79"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25pt" o:ole="">
                  <v:imagedata r:id="rId26" o:title=""/>
                </v:shape>
                <w:control r:id="rId80"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561728D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2pt;height:20.25pt" o:ole="">
                  <v:imagedata r:id="rId42" o:title=""/>
                </v:shape>
                <w:control r:id="rId81"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25pt" o:ole="">
                  <v:imagedata r:id="rId82" o:title=""/>
                </v:shape>
                <w:control r:id="rId83"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79C3F0F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2pt;height:20.25pt" o:ole="">
                  <v:imagedata r:id="rId39" o:title=""/>
                </v:shape>
                <w:control r:id="rId84"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25pt" o:ole="">
                  <v:imagedata r:id="rId26" o:title=""/>
                </v:shape>
                <w:control r:id="rId85"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554D3A0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2pt;height:20.25pt" o:ole="">
                  <v:imagedata r:id="rId31" o:title=""/>
                </v:shape>
                <w:control r:id="rId86"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25pt" o:ole="">
                  <v:imagedata r:id="rId26" o:title=""/>
                </v:shape>
                <w:control r:id="rId87"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406568A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2pt;height:20.25pt" o:ole="">
                  <v:imagedata r:id="rId31" o:title=""/>
                </v:shape>
                <w:control r:id="rId88"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25pt" o:ole="">
                  <v:imagedata r:id="rId26" o:title=""/>
                </v:shape>
                <w:control r:id="rId89"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021F0C2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2pt;height:20.25pt" o:ole="">
                  <v:imagedata r:id="rId31" o:title=""/>
                </v:shape>
                <w:control r:id="rId90"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25pt" o:ole="">
                  <v:imagedata r:id="rId91" o:title=""/>
                </v:shape>
                <w:control r:id="rId92"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208463C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2pt;height:20.25pt" o:ole="">
                  <v:imagedata r:id="rId39" o:title=""/>
                </v:shape>
                <w:control r:id="rId93"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25pt" o:ole="">
                  <v:imagedata r:id="rId91" o:title=""/>
                </v:shape>
                <w:control r:id="rId94"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5CFEB9A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2pt;height:20.25pt" o:ole="">
                  <v:imagedata r:id="rId31" o:title=""/>
                </v:shape>
                <w:control r:id="rId95"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25pt" o:ole="">
                  <v:imagedata r:id="rId26" o:title=""/>
                </v:shape>
                <w:control r:id="rId96"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7CC6425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2pt;height:20.25pt" o:ole="">
                  <v:imagedata r:id="rId36" o:title=""/>
                </v:shape>
                <w:control r:id="rId97"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25pt" o:ole="">
                  <v:imagedata r:id="rId26" o:title=""/>
                </v:shape>
                <w:control r:id="rId98"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1F31810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2pt;height:20.25pt" o:ole="">
                  <v:imagedata r:id="rId36" o:title=""/>
                </v:shape>
                <w:control r:id="rId99"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25pt" o:ole="">
                  <v:imagedata r:id="rId62" o:title=""/>
                </v:shape>
                <w:control r:id="rId100"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0D121B0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2pt;height:20.25pt" o:ole="">
                  <v:imagedata r:id="rId42" o:title=""/>
                </v:shape>
                <w:control r:id="rId101"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25pt" o:ole="">
                  <v:imagedata r:id="rId26" o:title=""/>
                </v:shape>
                <w:control r:id="rId102"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087DFDA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2pt;height:20.25pt" o:ole="">
                  <v:imagedata r:id="rId51" o:title=""/>
                </v:shape>
                <w:control r:id="rId103"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25pt" o:ole="">
                  <v:imagedata r:id="rId104" o:title=""/>
                </v:shape>
                <w:control r:id="rId105"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442618F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2pt;height:20.25pt" o:ole="">
                  <v:imagedata r:id="rId106" o:title=""/>
                </v:shape>
                <w:control r:id="rId107"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25pt" o:ole="">
                  <v:imagedata r:id="rId26" o:title=""/>
                </v:shape>
                <w:control r:id="rId108"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05A2803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2pt;height:20.25pt" o:ole="">
                  <v:imagedata r:id="rId109" o:title=""/>
                </v:shape>
                <w:control r:id="rId110"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25pt" o:ole="">
                  <v:imagedata r:id="rId26" o:title=""/>
                </v:shape>
                <w:control r:id="rId111"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546CE18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2pt;height:20.25pt" o:ole="">
                  <v:imagedata r:id="rId112" o:title=""/>
                </v:shape>
                <w:control r:id="rId113"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25pt" o:ole="">
                  <v:imagedata r:id="rId26" o:title=""/>
                </v:shape>
                <w:control r:id="rId114"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23F5E56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2pt;height:20.25pt" o:ole="">
                  <v:imagedata r:id="rId31" o:title=""/>
                </v:shape>
                <w:control r:id="rId115"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25pt" o:ole="">
                  <v:imagedata r:id="rId26" o:title=""/>
                </v:shape>
                <w:control r:id="rId116"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3524207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2pt;height:20.25pt" o:ole="">
                  <v:imagedata r:id="rId31" o:title=""/>
                </v:shape>
                <w:control r:id="rId117"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25pt" o:ole="">
                  <v:imagedata r:id="rId26" o:title=""/>
                </v:shape>
                <w:control r:id="rId118"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5CC91ED3"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2pt;height:20.25pt" o:ole="">
                  <v:imagedata r:id="rId119" o:title=""/>
                </v:shape>
                <w:control r:id="rId120"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25pt" o:ole="">
                  <v:imagedata r:id="rId26" o:title=""/>
                </v:shape>
                <w:control r:id="rId121"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52" w:name="_Hlk135751552"/>
    </w:p>
    <w:bookmarkEnd w:id="52"/>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53"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53"/>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54"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54"/>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55" w:name="_Hlk157512764"/>
      <w:r w:rsidRPr="00420C9D">
        <w:rPr>
          <w:rFonts w:ascii="Arial" w:hAnsi="Arial" w:cs="Arial"/>
          <w:b/>
          <w:sz w:val="20"/>
          <w:szCs w:val="20"/>
        </w:rPr>
        <w:t>Minimálna požadovaná úroveň štandardov:</w:t>
      </w:r>
    </w:p>
    <w:bookmarkEnd w:id="55"/>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56" w:name="_Hlk164677246"/>
      <w:r w:rsidRPr="00235D8B">
        <w:rPr>
          <w:rFonts w:ascii="Arial" w:hAnsi="Arial" w:cs="Arial"/>
          <w:sz w:val="20"/>
          <w:szCs w:val="20"/>
        </w:rPr>
        <w:t>na stavbe diaľnice alebo na stavbe rýchlostnej cesty alebo na stavbe cesty I. triedy alebo na stavbe cesty</w:t>
      </w:r>
      <w:bookmarkEnd w:id="56"/>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11025EF3"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ins w:id="57" w:author="Autor">
        <w:r w:rsidR="00A95D33">
          <w:rPr>
            <w:rFonts w:ascii="Arial" w:hAnsi="Arial" w:cs="Arial"/>
            <w:sz w:val="20"/>
            <w:szCs w:val="20"/>
          </w:rPr>
          <w:t>5</w:t>
        </w:r>
      </w:ins>
      <w:del w:id="58" w:author="Autor">
        <w:r w:rsidR="0089690D" w:rsidDel="00A95D33">
          <w:rPr>
            <w:rFonts w:ascii="Arial" w:hAnsi="Arial" w:cs="Arial"/>
            <w:sz w:val="20"/>
            <w:szCs w:val="20"/>
          </w:rPr>
          <w:delText>6</w:delText>
        </w:r>
      </w:del>
      <w:r w:rsidRPr="005063B4">
        <w:rPr>
          <w:rFonts w:ascii="Arial" w:hAnsi="Arial" w:cs="Arial"/>
          <w:sz w:val="20"/>
          <w:szCs w:val="20"/>
        </w:rPr>
        <w:t xml:space="preserve">0% objemu </w:t>
      </w:r>
      <w:bookmarkStart w:id="59" w:name="_Hlk176418416"/>
      <w:r w:rsidRPr="005063B4">
        <w:rPr>
          <w:rFonts w:ascii="Arial" w:hAnsi="Arial" w:cs="Arial"/>
          <w:sz w:val="20"/>
          <w:szCs w:val="20"/>
        </w:rPr>
        <w:t>prác stavebnej časti tunela</w:t>
      </w:r>
      <w:r w:rsidR="0089690D">
        <w:rPr>
          <w:rFonts w:ascii="Arial" w:hAnsi="Arial" w:cs="Arial"/>
          <w:sz w:val="20"/>
          <w:szCs w:val="20"/>
        </w:rPr>
        <w:t>, ktorými sa rozumie realizácia prác primárneho a sekundárneho ostenia, portálov tunela a raziacich prác v tunel</w:t>
      </w:r>
      <w:ins w:id="60" w:author="Autor">
        <w:r w:rsidR="00971672">
          <w:rPr>
            <w:rFonts w:ascii="Arial" w:hAnsi="Arial" w:cs="Arial"/>
            <w:sz w:val="20"/>
            <w:szCs w:val="20"/>
          </w:rPr>
          <w:t>i</w:t>
        </w:r>
      </w:ins>
      <w:del w:id="61" w:author="Autor">
        <w:r w:rsidR="0089690D" w:rsidDel="00971672">
          <w:rPr>
            <w:rFonts w:ascii="Arial" w:hAnsi="Arial" w:cs="Arial"/>
            <w:sz w:val="20"/>
            <w:szCs w:val="20"/>
          </w:rPr>
          <w:delText>y</w:delText>
        </w:r>
      </w:del>
      <w:r w:rsidR="0054576F">
        <w:rPr>
          <w:rFonts w:ascii="Arial" w:hAnsi="Arial" w:cs="Arial"/>
          <w:sz w:val="20"/>
          <w:szCs w:val="20"/>
        </w:rPr>
        <w:t xml:space="preserve"> </w:t>
      </w:r>
      <w:bookmarkEnd w:id="59"/>
      <w:r w:rsidR="0054576F">
        <w:rPr>
          <w:rFonts w:ascii="Arial" w:hAnsi="Arial" w:cs="Arial"/>
          <w:sz w:val="20"/>
          <w:szCs w:val="20"/>
        </w:rPr>
        <w:t>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060A292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62"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r w:rsidR="006250E9">
        <w:rPr>
          <w:rFonts w:ascii="Arial" w:eastAsia="Times New Roman" w:hAnsi="Arial" w:cs="Arial"/>
          <w:sz w:val="20"/>
          <w:szCs w:val="20"/>
          <w:u w:val="single"/>
        </w:rPr>
        <w:t xml:space="preserve"> rozsah plnenia</w:t>
      </w:r>
      <w:r w:rsidR="006250E9" w:rsidRPr="00421570">
        <w:rPr>
          <w:rFonts w:ascii="Arial" w:eastAsia="Times New Roman" w:hAnsi="Arial" w:cs="Arial"/>
          <w:sz w:val="20"/>
          <w:szCs w:val="20"/>
        </w:rPr>
        <w:t xml:space="preserve"> s ohľadom na </w:t>
      </w:r>
      <w:r w:rsidR="006250E9">
        <w:rPr>
          <w:rFonts w:ascii="Arial" w:eastAsia="Times New Roman" w:hAnsi="Arial" w:cs="Arial"/>
          <w:sz w:val="20"/>
          <w:szCs w:val="20"/>
          <w:u w:val="single"/>
        </w:rPr>
        <w:t>splnenie podmienok účasti hore uvedených bodov 1.1, 1.2, 1.3, a 1.4</w:t>
      </w:r>
      <w:r w:rsidRPr="00420C9D">
        <w:rPr>
          <w:rFonts w:ascii="Arial" w:eastAsia="Times New Roman" w:hAnsi="Arial" w:cs="Arial"/>
          <w:sz w:val="20"/>
          <w:szCs w:val="20"/>
        </w:rPr>
        <w:t xml:space="preserve">, ktoré </w:t>
      </w:r>
      <w:r w:rsidR="006250E9">
        <w:rPr>
          <w:rFonts w:ascii="Arial" w:eastAsia="Times New Roman" w:hAnsi="Arial" w:cs="Arial"/>
          <w:sz w:val="20"/>
          <w:szCs w:val="20"/>
        </w:rPr>
        <w:t xml:space="preserve">v rámci tohto združenia alebo skupiny dodávateľov skutočne a preukázateľne </w:t>
      </w:r>
      <w:r w:rsidRPr="00420C9D">
        <w:rPr>
          <w:rFonts w:ascii="Arial" w:eastAsia="Times New Roman" w:hAnsi="Arial" w:cs="Arial"/>
          <w:sz w:val="20"/>
          <w:szCs w:val="20"/>
        </w:rPr>
        <w:t>realizoval.</w:t>
      </w:r>
    </w:p>
    <w:bookmarkEnd w:id="62"/>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63"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63"/>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64"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65" w:name="_Hlk165977051"/>
      <w:r w:rsidRPr="00011F66">
        <w:rPr>
          <w:rFonts w:ascii="Arial" w:hAnsi="Arial" w:cs="Arial"/>
          <w:sz w:val="20"/>
          <w:szCs w:val="20"/>
        </w:rPr>
        <w:t>Zodpovedný odborník pre banské a prevádzkové vetranie tunela</w:t>
      </w:r>
      <w:bookmarkEnd w:id="65"/>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66"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66"/>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64"/>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67"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4806781F"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w:t>
      </w:r>
      <w:r w:rsidRPr="00420C9D">
        <w:rPr>
          <w:rFonts w:ascii="Arial" w:hAnsi="Arial" w:cs="Arial"/>
          <w:sz w:val="20"/>
          <w:szCs w:val="20"/>
        </w:rPr>
        <w:lastRenderedPageBreak/>
        <w:t>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67"/>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330D6B5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ins w:id="68" w:author="Autor">
        <w:r w:rsidR="00CD233F">
          <w:rPr>
            <w:rFonts w:ascii="Arial" w:hAnsi="Arial" w:cs="Arial"/>
            <w:sz w:val="20"/>
            <w:szCs w:val="20"/>
          </w:rPr>
          <w:t xml:space="preserve"> a/alebo </w:t>
        </w:r>
      </w:ins>
      <w:del w:id="69" w:author="Autor">
        <w:r w:rsidR="00C4493B" w:rsidDel="00CD233F">
          <w:rPr>
            <w:rFonts w:ascii="Arial" w:hAnsi="Arial" w:cs="Arial"/>
            <w:sz w:val="20"/>
            <w:szCs w:val="20"/>
          </w:rPr>
          <w:delText>/</w:delText>
        </w:r>
      </w:del>
      <w:r w:rsidR="00426C4B">
        <w:rPr>
          <w:rFonts w:ascii="Arial" w:hAnsi="Arial" w:cs="Arial"/>
          <w:sz w:val="20"/>
          <w:szCs w:val="20"/>
        </w:rPr>
        <w:t>tunely</w:t>
      </w:r>
      <w:del w:id="70" w:author="Autor">
        <w:r w:rsidR="00C4493B" w:rsidDel="00CD233F">
          <w:rPr>
            <w:rFonts w:ascii="Arial" w:hAnsi="Arial" w:cs="Arial"/>
            <w:sz w:val="20"/>
            <w:szCs w:val="20"/>
          </w:rPr>
          <w:delText>/ mosty, tunely</w:delText>
        </w:r>
      </w:del>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71"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71"/>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72"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72"/>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594D88B5"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ins w:id="73" w:author="Autor">
        <w:r w:rsidR="00CD233F">
          <w:rPr>
            <w:rFonts w:ascii="Arial" w:hAnsi="Arial" w:cs="Arial"/>
            <w:sz w:val="20"/>
            <w:szCs w:val="20"/>
          </w:rPr>
          <w:t xml:space="preserve"> a</w:t>
        </w:r>
      </w:ins>
      <w:r w:rsidR="00C4493B">
        <w:rPr>
          <w:rFonts w:ascii="Arial" w:hAnsi="Arial" w:cs="Arial"/>
          <w:sz w:val="20"/>
          <w:szCs w:val="20"/>
        </w:rPr>
        <w:t>/</w:t>
      </w:r>
      <w:ins w:id="74" w:author="Autor">
        <w:r w:rsidR="00CD233F">
          <w:rPr>
            <w:rFonts w:ascii="Arial" w:hAnsi="Arial" w:cs="Arial"/>
            <w:sz w:val="20"/>
            <w:szCs w:val="20"/>
          </w:rPr>
          <w:t xml:space="preserve">alebo </w:t>
        </w:r>
      </w:ins>
      <w:r>
        <w:rPr>
          <w:rFonts w:ascii="Arial" w:hAnsi="Arial" w:cs="Arial"/>
          <w:sz w:val="20"/>
          <w:szCs w:val="20"/>
        </w:rPr>
        <w:t>tunely</w:t>
      </w:r>
      <w:del w:id="75" w:author="Autor">
        <w:r w:rsidR="00C4493B" w:rsidDel="00CD233F">
          <w:rPr>
            <w:rFonts w:ascii="Arial" w:hAnsi="Arial" w:cs="Arial"/>
            <w:sz w:val="20"/>
            <w:szCs w:val="20"/>
          </w:rPr>
          <w:delText>/ mosty, tunely</w:delText>
        </w:r>
      </w:del>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bookmarkStart w:id="76" w:name="_GoBack"/>
      <w:bookmarkEnd w:id="76"/>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77"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77"/>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289BC856"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7B614BD4" w14:textId="5EA6F3E2"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78"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p>
    <w:bookmarkEnd w:id="78"/>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79"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79"/>
    <w:p w14:paraId="6037D527" w14:textId="21AD01A1"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80"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80"/>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5AB6322D"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81" w:name="_Hlk166833834"/>
      <w:r w:rsidRPr="00420C9D">
        <w:rPr>
          <w:rFonts w:ascii="Arial" w:hAnsi="Arial" w:cs="Arial"/>
          <w:b/>
          <w:sz w:val="20"/>
          <w:szCs w:val="20"/>
        </w:rPr>
        <w:t xml:space="preserve"> </w:t>
      </w:r>
      <w:bookmarkStart w:id="82" w:name="_Hlk167183422"/>
      <w:r w:rsidRPr="00420C9D">
        <w:rPr>
          <w:rFonts w:ascii="Arial" w:hAnsi="Arial" w:cs="Arial"/>
          <w:sz w:val="20"/>
          <w:szCs w:val="20"/>
        </w:rPr>
        <w:t>preukáže odbornú prax za rozhodné obdobie za nasledovných podmienok:</w:t>
      </w:r>
    </w:p>
    <w:bookmarkEnd w:id="81"/>
    <w:bookmarkEnd w:id="82"/>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w:t>
      </w:r>
      <w:r w:rsidRPr="00420C9D">
        <w:rPr>
          <w:rFonts w:ascii="Arial" w:hAnsi="Arial" w:cs="Arial"/>
          <w:sz w:val="20"/>
          <w:szCs w:val="20"/>
        </w:rPr>
        <w:lastRenderedPageBreak/>
        <w:t xml:space="preserve">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83"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83"/>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84"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84"/>
      <w:r w:rsidRPr="00420C9D">
        <w:rPr>
          <w:rFonts w:ascii="Arial" w:hAnsi="Arial" w:cs="Arial"/>
          <w:sz w:val="20"/>
          <w:szCs w:val="20"/>
        </w:rPr>
        <w:t>;</w:t>
      </w:r>
    </w:p>
    <w:p w14:paraId="0A150796" w14:textId="1207B4BA"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85" w:name="_Hlk173842333"/>
      <w:bookmarkStart w:id="86" w:name="_Hlk176510604"/>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86"/>
      <w:del w:id="87" w:author="Autor">
        <w:r w:rsidRPr="00420C9D" w:rsidDel="00101B69">
          <w:rPr>
            <w:rFonts w:ascii="Arial" w:hAnsi="Arial" w:cs="Arial"/>
            <w:sz w:val="20"/>
            <w:szCs w:val="20"/>
          </w:rPr>
          <w:delText>.(platí pre banské vetranie)</w:delText>
        </w:r>
      </w:del>
      <w:r w:rsidRPr="00420C9D">
        <w:rPr>
          <w:rFonts w:ascii="Arial" w:hAnsi="Arial" w:cs="Arial"/>
          <w:sz w:val="20"/>
          <w:szCs w:val="20"/>
        </w:rPr>
        <w:t>;</w:t>
      </w:r>
    </w:p>
    <w:bookmarkEnd w:id="85"/>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88"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88"/>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16496A05"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ins w:id="89" w:author="Autor">
        <w:r w:rsidR="00101B69">
          <w:rPr>
            <w:rFonts w:ascii="Arial" w:hAnsi="Arial" w:cs="Arial"/>
            <w:sz w:val="20"/>
            <w:szCs w:val="20"/>
          </w:rPr>
          <w:t xml:space="preserve"> </w:t>
        </w:r>
        <w:r w:rsidR="00101B69" w:rsidRPr="00101B69">
          <w:rPr>
            <w:rFonts w:ascii="Arial" w:hAnsi="Arial" w:cs="Arial"/>
            <w:sz w:val="20"/>
            <w:szCs w:val="20"/>
          </w:rPr>
          <w:t xml:space="preserve">resp. ekvivalentný doklad platný v čase predloženia ponuky ako </w:t>
        </w:r>
        <w:proofErr w:type="spellStart"/>
        <w:r w:rsidR="00101B69" w:rsidRPr="00101B69">
          <w:rPr>
            <w:rFonts w:ascii="Arial" w:hAnsi="Arial" w:cs="Arial"/>
            <w:sz w:val="20"/>
            <w:szCs w:val="20"/>
          </w:rPr>
          <w:t>sken</w:t>
        </w:r>
        <w:proofErr w:type="spellEnd"/>
        <w:r w:rsidR="00101B69" w:rsidRPr="00101B69">
          <w:rPr>
            <w:rFonts w:ascii="Arial" w:hAnsi="Arial" w:cs="Arial"/>
            <w:sz w:val="20"/>
            <w:szCs w:val="20"/>
          </w:rPr>
          <w:t xml:space="preserve"> originálu alebo úradne osvedčenej fotokópie</w:t>
        </w:r>
      </w:ins>
      <w:r w:rsidR="00E86366" w:rsidRPr="00E86366">
        <w:rPr>
          <w:rFonts w:ascii="Arial" w:hAnsi="Arial" w:cs="Arial"/>
          <w:sz w:val="20"/>
          <w:szCs w:val="20"/>
        </w:rPr>
        <w:t>;</w:t>
      </w:r>
    </w:p>
    <w:p w14:paraId="5C0F1C04" w14:textId="6E00DF6D" w:rsidR="006B01C5" w:rsidRDefault="006B01C5" w:rsidP="00C95FEC">
      <w:pPr>
        <w:tabs>
          <w:tab w:val="left" w:pos="993"/>
        </w:tabs>
        <w:spacing w:after="0" w:line="240" w:lineRule="auto"/>
        <w:ind w:left="993" w:hanging="284"/>
        <w:contextualSpacing/>
        <w:jc w:val="both"/>
        <w:rPr>
          <w:rFonts w:ascii="Arial" w:hAnsi="Arial" w:cs="Arial"/>
          <w:sz w:val="20"/>
          <w:szCs w:val="20"/>
        </w:rPr>
      </w:pP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90"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90"/>
      <w:r>
        <w:rPr>
          <w:rFonts w:ascii="Arial" w:hAnsi="Arial" w:cs="Arial"/>
          <w:sz w:val="20"/>
          <w:szCs w:val="20"/>
        </w:rPr>
        <w:t xml:space="preserve">: </w:t>
      </w:r>
      <w:bookmarkStart w:id="91"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91"/>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77777777"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Projektom sa rozumie referencia na stavebné 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lastRenderedPageBreak/>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92" w:name="_Hlk129093998"/>
      <w:r w:rsidRPr="00CD2EAD">
        <w:rPr>
          <w:rFonts w:ascii="Arial" w:eastAsia="Times New Roman" w:hAnsi="Arial" w:cs="Arial"/>
          <w:b/>
          <w:caps/>
          <w:sz w:val="24"/>
          <w:szCs w:val="24"/>
        </w:rPr>
        <w:lastRenderedPageBreak/>
        <w:t xml:space="preserve">Príloha B8 </w:t>
      </w:r>
      <w:bookmarkEnd w:id="92"/>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3267B1F2" w:rsidR="0007088A" w:rsidRDefault="0007088A" w:rsidP="0095273D">
      <w:pPr>
        <w:pStyle w:val="Odsekzoznamu"/>
        <w:spacing w:after="0" w:line="240" w:lineRule="auto"/>
        <w:ind w:left="284"/>
        <w:jc w:val="both"/>
        <w:rPr>
          <w:rFonts w:ascii="Arial" w:hAnsi="Arial" w:cs="Arial"/>
          <w:b/>
          <w:sz w:val="20"/>
          <w:szCs w:val="20"/>
        </w:rPr>
      </w:pPr>
    </w:p>
    <w:p w14:paraId="4F2251CD" w14:textId="72A90AD9" w:rsidR="006B01C5" w:rsidRDefault="006B01C5" w:rsidP="0095273D">
      <w:pPr>
        <w:pStyle w:val="Odsekzoznamu"/>
        <w:spacing w:after="0" w:line="240" w:lineRule="auto"/>
        <w:ind w:left="284"/>
        <w:jc w:val="both"/>
        <w:rPr>
          <w:rFonts w:ascii="Arial" w:hAnsi="Arial" w:cs="Arial"/>
          <w:b/>
          <w:sz w:val="20"/>
          <w:szCs w:val="20"/>
        </w:rPr>
      </w:pPr>
    </w:p>
    <w:p w14:paraId="5A121DD1" w14:textId="040EC5DA" w:rsidR="006B01C5" w:rsidRDefault="006B01C5" w:rsidP="0095273D">
      <w:pPr>
        <w:pStyle w:val="Odsekzoznamu"/>
        <w:spacing w:after="0" w:line="240" w:lineRule="auto"/>
        <w:ind w:left="284"/>
        <w:jc w:val="both"/>
        <w:rPr>
          <w:rFonts w:ascii="Arial" w:hAnsi="Arial" w:cs="Arial"/>
          <w:b/>
          <w:sz w:val="20"/>
          <w:szCs w:val="20"/>
        </w:rPr>
      </w:pPr>
    </w:p>
    <w:p w14:paraId="45C8F763" w14:textId="49C77DD6" w:rsidR="006B01C5" w:rsidRDefault="006B01C5" w:rsidP="0095273D">
      <w:pPr>
        <w:pStyle w:val="Odsekzoznamu"/>
        <w:spacing w:after="0" w:line="240" w:lineRule="auto"/>
        <w:ind w:left="284"/>
        <w:jc w:val="both"/>
        <w:rPr>
          <w:rFonts w:ascii="Arial" w:hAnsi="Arial" w:cs="Arial"/>
          <w:b/>
          <w:sz w:val="20"/>
          <w:szCs w:val="20"/>
        </w:rPr>
      </w:pPr>
    </w:p>
    <w:p w14:paraId="053351AA" w14:textId="1CD08ED9" w:rsidR="006B01C5" w:rsidRDefault="006B01C5" w:rsidP="0095273D">
      <w:pPr>
        <w:pStyle w:val="Odsekzoznamu"/>
        <w:spacing w:after="0" w:line="240" w:lineRule="auto"/>
        <w:ind w:left="284"/>
        <w:jc w:val="both"/>
        <w:rPr>
          <w:rFonts w:ascii="Arial" w:hAnsi="Arial" w:cs="Arial"/>
          <w:b/>
          <w:sz w:val="20"/>
          <w:szCs w:val="20"/>
        </w:rPr>
      </w:pPr>
    </w:p>
    <w:p w14:paraId="0804D521" w14:textId="3C71129A" w:rsidR="006B01C5" w:rsidRDefault="006B01C5" w:rsidP="0095273D">
      <w:pPr>
        <w:pStyle w:val="Odsekzoznamu"/>
        <w:spacing w:after="0" w:line="240" w:lineRule="auto"/>
        <w:ind w:left="284"/>
        <w:jc w:val="both"/>
        <w:rPr>
          <w:rFonts w:ascii="Arial" w:hAnsi="Arial" w:cs="Arial"/>
          <w:b/>
          <w:sz w:val="20"/>
          <w:szCs w:val="20"/>
        </w:rPr>
      </w:pPr>
    </w:p>
    <w:p w14:paraId="58E37FF3" w14:textId="2AB07D99" w:rsidR="006B01C5" w:rsidRDefault="006B01C5" w:rsidP="0095273D">
      <w:pPr>
        <w:pStyle w:val="Odsekzoznamu"/>
        <w:spacing w:after="0" w:line="240" w:lineRule="auto"/>
        <w:ind w:left="284"/>
        <w:jc w:val="both"/>
        <w:rPr>
          <w:rFonts w:ascii="Arial" w:hAnsi="Arial" w:cs="Arial"/>
          <w:b/>
          <w:sz w:val="20"/>
          <w:szCs w:val="20"/>
        </w:rPr>
      </w:pPr>
    </w:p>
    <w:p w14:paraId="4FCF14C6" w14:textId="565CC0A0" w:rsidR="006B01C5" w:rsidRDefault="006B01C5" w:rsidP="0095273D">
      <w:pPr>
        <w:pStyle w:val="Odsekzoznamu"/>
        <w:spacing w:after="0" w:line="240" w:lineRule="auto"/>
        <w:ind w:left="284"/>
        <w:jc w:val="both"/>
        <w:rPr>
          <w:rFonts w:ascii="Arial" w:hAnsi="Arial" w:cs="Arial"/>
          <w:b/>
          <w:sz w:val="20"/>
          <w:szCs w:val="20"/>
        </w:rPr>
      </w:pPr>
    </w:p>
    <w:p w14:paraId="3F56AC04" w14:textId="7B11F2E3" w:rsidR="006B01C5" w:rsidRDefault="006B01C5" w:rsidP="0095273D">
      <w:pPr>
        <w:pStyle w:val="Odsekzoznamu"/>
        <w:spacing w:after="0" w:line="240" w:lineRule="auto"/>
        <w:ind w:left="284"/>
        <w:jc w:val="both"/>
        <w:rPr>
          <w:rFonts w:ascii="Arial" w:hAnsi="Arial" w:cs="Arial"/>
          <w:b/>
          <w:sz w:val="20"/>
          <w:szCs w:val="20"/>
        </w:rPr>
      </w:pPr>
    </w:p>
    <w:p w14:paraId="7A9FDBB5" w14:textId="61BCA8A9" w:rsidR="006B01C5" w:rsidRDefault="006B01C5" w:rsidP="0095273D">
      <w:pPr>
        <w:pStyle w:val="Odsekzoznamu"/>
        <w:spacing w:after="0" w:line="240" w:lineRule="auto"/>
        <w:ind w:left="284"/>
        <w:jc w:val="both"/>
        <w:rPr>
          <w:rFonts w:ascii="Arial" w:hAnsi="Arial" w:cs="Arial"/>
          <w:b/>
          <w:sz w:val="20"/>
          <w:szCs w:val="20"/>
        </w:rPr>
      </w:pPr>
    </w:p>
    <w:p w14:paraId="1D9F499E" w14:textId="02D7ED4C" w:rsidR="006B01C5" w:rsidRDefault="006B01C5" w:rsidP="0095273D">
      <w:pPr>
        <w:pStyle w:val="Odsekzoznamu"/>
        <w:spacing w:after="0" w:line="240" w:lineRule="auto"/>
        <w:ind w:left="284"/>
        <w:jc w:val="both"/>
        <w:rPr>
          <w:rFonts w:ascii="Arial" w:hAnsi="Arial" w:cs="Arial"/>
          <w:b/>
          <w:sz w:val="20"/>
          <w:szCs w:val="20"/>
        </w:rPr>
      </w:pPr>
    </w:p>
    <w:p w14:paraId="30B7273F" w14:textId="7D695CEC" w:rsidR="006B01C5" w:rsidRDefault="006B01C5" w:rsidP="0095273D">
      <w:pPr>
        <w:pStyle w:val="Odsekzoznamu"/>
        <w:spacing w:after="0" w:line="240" w:lineRule="auto"/>
        <w:ind w:left="284"/>
        <w:jc w:val="both"/>
        <w:rPr>
          <w:rFonts w:ascii="Arial" w:hAnsi="Arial" w:cs="Arial"/>
          <w:b/>
          <w:sz w:val="20"/>
          <w:szCs w:val="20"/>
        </w:rPr>
      </w:pPr>
    </w:p>
    <w:p w14:paraId="4E1ED40D" w14:textId="0FB9DC8E" w:rsidR="006B01C5" w:rsidRDefault="006B01C5" w:rsidP="0095273D">
      <w:pPr>
        <w:pStyle w:val="Odsekzoznamu"/>
        <w:spacing w:after="0" w:line="240" w:lineRule="auto"/>
        <w:ind w:left="284"/>
        <w:jc w:val="both"/>
        <w:rPr>
          <w:rFonts w:ascii="Arial" w:hAnsi="Arial" w:cs="Arial"/>
          <w:b/>
          <w:sz w:val="20"/>
          <w:szCs w:val="20"/>
        </w:rPr>
      </w:pPr>
    </w:p>
    <w:p w14:paraId="684EE14A" w14:textId="3525CC72" w:rsidR="006B01C5" w:rsidRDefault="006B01C5" w:rsidP="0095273D">
      <w:pPr>
        <w:pStyle w:val="Odsekzoznamu"/>
        <w:spacing w:after="0" w:line="240" w:lineRule="auto"/>
        <w:ind w:left="284"/>
        <w:jc w:val="both"/>
        <w:rPr>
          <w:rFonts w:ascii="Arial" w:hAnsi="Arial" w:cs="Arial"/>
          <w:b/>
          <w:sz w:val="20"/>
          <w:szCs w:val="20"/>
        </w:rPr>
      </w:pPr>
    </w:p>
    <w:p w14:paraId="0620EEDC" w14:textId="38781F4D" w:rsidR="006B01C5" w:rsidRDefault="006B01C5" w:rsidP="0095273D">
      <w:pPr>
        <w:pStyle w:val="Odsekzoznamu"/>
        <w:spacing w:after="0" w:line="240" w:lineRule="auto"/>
        <w:ind w:left="284"/>
        <w:jc w:val="both"/>
        <w:rPr>
          <w:rFonts w:ascii="Arial" w:hAnsi="Arial" w:cs="Arial"/>
          <w:b/>
          <w:sz w:val="20"/>
          <w:szCs w:val="20"/>
        </w:rPr>
      </w:pPr>
    </w:p>
    <w:p w14:paraId="73559B58" w14:textId="36357F06" w:rsidR="006B01C5" w:rsidRDefault="006B01C5" w:rsidP="0095273D">
      <w:pPr>
        <w:pStyle w:val="Odsekzoznamu"/>
        <w:spacing w:after="0" w:line="240" w:lineRule="auto"/>
        <w:ind w:left="284"/>
        <w:jc w:val="both"/>
        <w:rPr>
          <w:rFonts w:ascii="Arial" w:hAnsi="Arial" w:cs="Arial"/>
          <w:b/>
          <w:sz w:val="20"/>
          <w:szCs w:val="20"/>
        </w:rPr>
      </w:pPr>
    </w:p>
    <w:p w14:paraId="3D56CCFE" w14:textId="4602EE83" w:rsidR="006B01C5" w:rsidRDefault="006B01C5" w:rsidP="0095273D">
      <w:pPr>
        <w:pStyle w:val="Odsekzoznamu"/>
        <w:spacing w:after="0" w:line="240" w:lineRule="auto"/>
        <w:ind w:left="284"/>
        <w:jc w:val="both"/>
        <w:rPr>
          <w:rFonts w:ascii="Arial" w:hAnsi="Arial" w:cs="Arial"/>
          <w:b/>
          <w:sz w:val="20"/>
          <w:szCs w:val="20"/>
        </w:rPr>
      </w:pPr>
    </w:p>
    <w:p w14:paraId="7984E0F1" w14:textId="79B67715" w:rsidR="006B01C5" w:rsidRDefault="006B01C5" w:rsidP="0095273D">
      <w:pPr>
        <w:pStyle w:val="Odsekzoznamu"/>
        <w:spacing w:after="0" w:line="240" w:lineRule="auto"/>
        <w:ind w:left="284"/>
        <w:jc w:val="both"/>
        <w:rPr>
          <w:rFonts w:ascii="Arial" w:hAnsi="Arial" w:cs="Arial"/>
          <w:b/>
          <w:sz w:val="20"/>
          <w:szCs w:val="20"/>
        </w:rPr>
      </w:pPr>
    </w:p>
    <w:p w14:paraId="68035271" w14:textId="627EB5F4" w:rsidR="006B01C5" w:rsidRDefault="006B01C5" w:rsidP="0095273D">
      <w:pPr>
        <w:pStyle w:val="Odsekzoznamu"/>
        <w:spacing w:after="0" w:line="240" w:lineRule="auto"/>
        <w:ind w:left="284"/>
        <w:jc w:val="both"/>
        <w:rPr>
          <w:rFonts w:ascii="Arial" w:hAnsi="Arial" w:cs="Arial"/>
          <w:b/>
          <w:sz w:val="20"/>
          <w:szCs w:val="20"/>
        </w:rPr>
      </w:pPr>
    </w:p>
    <w:p w14:paraId="321749FA" w14:textId="77777777" w:rsidR="006B01C5" w:rsidRDefault="006B01C5"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lastRenderedPageBreak/>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lastRenderedPageBreak/>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lastRenderedPageBreak/>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12AA9720"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r w:rsidR="006250E9">
              <w:rPr>
                <w:rFonts w:ascii="Arial" w:eastAsia="Arial" w:hAnsi="Arial" w:cs="Arial"/>
                <w:sz w:val="20"/>
                <w:szCs w:val="20"/>
              </w:rPr>
              <w:t>5</w:t>
            </w:r>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2004 o minimálnych bezpečnostných </w:t>
            </w:r>
            <w:r w:rsidRPr="002A2CAF">
              <w:rPr>
                <w:rFonts w:ascii="Arial" w:eastAsia="Arial" w:hAnsi="Arial" w:cs="Arial"/>
                <w:sz w:val="20"/>
                <w:szCs w:val="20"/>
              </w:rPr>
              <w:lastRenderedPageBreak/>
              <w:t xml:space="preserve">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w:t>
            </w:r>
            <w:r w:rsidRPr="00C81C6D">
              <w:rPr>
                <w:rFonts w:ascii="Arial" w:eastAsia="Arial" w:hAnsi="Arial" w:cs="Arial"/>
                <w:color w:val="000000"/>
                <w:sz w:val="20"/>
                <w:szCs w:val="20"/>
              </w:rPr>
              <w:lastRenderedPageBreak/>
              <w:t xml:space="preserve">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93" w:name="_Hlk173845289"/>
      <w:r w:rsidRPr="002A2CAF">
        <w:rPr>
          <w:rFonts w:ascii="Arial" w:eastAsia="Times New Roman" w:hAnsi="Arial" w:cs="Arial"/>
          <w:b/>
          <w:sz w:val="20"/>
          <w:szCs w:val="20"/>
        </w:rPr>
        <w:t>Kľúčové strojové vybavenie</w:t>
      </w:r>
      <w:bookmarkEnd w:id="93"/>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E9B189C" w14:textId="387F11F8" w:rsidR="002A2CAF" w:rsidRPr="002A2CAF" w:rsidDel="00A95D33" w:rsidRDefault="002A2CAF" w:rsidP="00420C98">
            <w:pPr>
              <w:widowControl w:val="0"/>
              <w:numPr>
                <w:ilvl w:val="0"/>
                <w:numId w:val="57"/>
              </w:numPr>
              <w:tabs>
                <w:tab w:val="left" w:pos="341"/>
                <w:tab w:val="left" w:pos="1134"/>
                <w:tab w:val="left" w:pos="1276"/>
              </w:tabs>
              <w:spacing w:after="0" w:line="240" w:lineRule="auto"/>
              <w:ind w:left="341" w:hanging="341"/>
              <w:contextualSpacing/>
              <w:rPr>
                <w:del w:id="94" w:author="Autor"/>
                <w:rFonts w:ascii="Arial" w:eastAsia="Arial" w:hAnsi="Arial" w:cs="Arial"/>
                <w:color w:val="000000"/>
                <w:sz w:val="20"/>
                <w:szCs w:val="20"/>
              </w:rPr>
            </w:pPr>
            <w:del w:id="95" w:author="Autor">
              <w:r w:rsidRPr="002A2CAF" w:rsidDel="00A95D33">
                <w:rPr>
                  <w:rFonts w:ascii="Arial" w:eastAsia="Arial" w:hAnsi="Arial" w:cs="Arial"/>
                  <w:color w:val="000000"/>
                  <w:sz w:val="20"/>
                  <w:szCs w:val="20"/>
                </w:rPr>
                <w:delText xml:space="preserve">alebo 2 x žeriav </w:delText>
              </w:r>
            </w:del>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lastRenderedPageBreak/>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w:t>
      </w:r>
      <w:proofErr w:type="spellStart"/>
      <w:r w:rsidRPr="0082326C">
        <w:rPr>
          <w:rFonts w:ascii="Arial" w:eastAsia="Arial" w:hAnsi="Arial" w:cs="Arial"/>
          <w:b/>
          <w:color w:val="000000"/>
          <w:sz w:val="20"/>
          <w:szCs w:val="20"/>
        </w:rPr>
        <w:t>RSi</w:t>
      </w:r>
      <w:proofErr w:type="spellEnd"/>
      <w:r w:rsidRPr="0082326C">
        <w:rPr>
          <w:rFonts w:ascii="Arial" w:eastAsia="Arial" w:hAnsi="Arial" w:cs="Arial"/>
          <w:b/>
          <w:color w:val="000000"/>
          <w:sz w:val="20"/>
          <w:szCs w:val="20"/>
        </w:rPr>
        <w:t xml:space="preserve"> /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RSi</w:t>
      </w:r>
      <w:proofErr w:type="spellEnd"/>
      <w:r w:rsidRPr="0082326C">
        <w:rPr>
          <w:rFonts w:ascii="Arial" w:eastAsia="Arial" w:hAnsi="Arial" w:cs="Arial"/>
          <w:color w:val="000000"/>
          <w:sz w:val="20"/>
          <w:szCs w:val="20"/>
        </w:rPr>
        <w:t xml:space="preserve">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RSmax</w:t>
      </w:r>
      <w:proofErr w:type="spellEnd"/>
      <w:r w:rsidRPr="0082326C">
        <w:rPr>
          <w:rFonts w:ascii="Arial" w:eastAsia="Arial" w:hAnsi="Arial" w:cs="Arial"/>
          <w:color w:val="000000"/>
          <w:sz w:val="20"/>
          <w:szCs w:val="20"/>
        </w:rPr>
        <w:t xml:space="preserve"> – Maximálny počet bodov,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ml:space="preserve">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A4C2420" w14:textId="24F06EC1"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36D5B8E2" w14:textId="4022769D"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052D4DF0" w14:textId="77777777"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väčšia dĺžka 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3613AF0E" w:rsidR="009373D5" w:rsidRDefault="009373D5" w:rsidP="00DD160F">
      <w:pPr>
        <w:spacing w:after="0" w:line="240" w:lineRule="auto"/>
        <w:jc w:val="both"/>
        <w:rPr>
          <w:rFonts w:ascii="Arial" w:eastAsia="Times New Roman" w:hAnsi="Arial" w:cs="Arial"/>
          <w:sz w:val="20"/>
          <w:szCs w:val="20"/>
        </w:rPr>
      </w:pPr>
    </w:p>
    <w:p w14:paraId="2C2F6EC6" w14:textId="32B96EBB" w:rsidR="00433484" w:rsidRDefault="00433484" w:rsidP="00DD160F">
      <w:pPr>
        <w:spacing w:after="0" w:line="240" w:lineRule="auto"/>
        <w:jc w:val="both"/>
        <w:rPr>
          <w:rFonts w:ascii="Arial" w:eastAsia="Times New Roman" w:hAnsi="Arial" w:cs="Arial"/>
          <w:sz w:val="20"/>
          <w:szCs w:val="20"/>
        </w:rPr>
      </w:pPr>
    </w:p>
    <w:p w14:paraId="0ED9DCBF" w14:textId="56F63293" w:rsidR="00433484" w:rsidRDefault="00433484" w:rsidP="00DD160F">
      <w:pPr>
        <w:spacing w:after="0" w:line="240" w:lineRule="auto"/>
        <w:jc w:val="both"/>
        <w:rPr>
          <w:rFonts w:ascii="Arial" w:eastAsia="Times New Roman" w:hAnsi="Arial" w:cs="Arial"/>
          <w:sz w:val="20"/>
          <w:szCs w:val="20"/>
        </w:rPr>
      </w:pPr>
    </w:p>
    <w:p w14:paraId="3DFF0B2B" w14:textId="7C5C3B52" w:rsidR="00433484" w:rsidRDefault="00433484" w:rsidP="00DD160F">
      <w:pPr>
        <w:spacing w:after="0" w:line="240" w:lineRule="auto"/>
        <w:jc w:val="both"/>
        <w:rPr>
          <w:rFonts w:ascii="Arial" w:eastAsia="Times New Roman" w:hAnsi="Arial" w:cs="Arial"/>
          <w:sz w:val="20"/>
          <w:szCs w:val="20"/>
        </w:rPr>
      </w:pPr>
    </w:p>
    <w:p w14:paraId="795CBCA9" w14:textId="75BE939B" w:rsidR="00433484" w:rsidRDefault="00433484" w:rsidP="00DD160F">
      <w:pPr>
        <w:spacing w:after="0" w:line="240" w:lineRule="auto"/>
        <w:jc w:val="both"/>
        <w:rPr>
          <w:rFonts w:ascii="Arial" w:eastAsia="Times New Roman" w:hAnsi="Arial" w:cs="Arial"/>
          <w:sz w:val="20"/>
          <w:szCs w:val="20"/>
        </w:rPr>
      </w:pPr>
    </w:p>
    <w:p w14:paraId="2B319706" w14:textId="287B8272" w:rsidR="00433484" w:rsidRDefault="00433484" w:rsidP="00DD160F">
      <w:pPr>
        <w:spacing w:after="0" w:line="240" w:lineRule="auto"/>
        <w:jc w:val="both"/>
        <w:rPr>
          <w:rFonts w:ascii="Arial" w:eastAsia="Times New Roman" w:hAnsi="Arial" w:cs="Arial"/>
          <w:sz w:val="20"/>
          <w:szCs w:val="20"/>
        </w:rPr>
      </w:pPr>
    </w:p>
    <w:p w14:paraId="25480AE9" w14:textId="57D748A9" w:rsidR="00433484" w:rsidRDefault="00433484" w:rsidP="00DD160F">
      <w:pPr>
        <w:spacing w:after="0" w:line="240" w:lineRule="auto"/>
        <w:jc w:val="both"/>
        <w:rPr>
          <w:rFonts w:ascii="Arial" w:eastAsia="Times New Roman" w:hAnsi="Arial" w:cs="Arial"/>
          <w:sz w:val="20"/>
          <w:szCs w:val="20"/>
        </w:rPr>
      </w:pPr>
    </w:p>
    <w:p w14:paraId="790B6830" w14:textId="45A8EFC0" w:rsidR="00433484" w:rsidRDefault="00433484" w:rsidP="00DD160F">
      <w:pPr>
        <w:spacing w:after="0" w:line="240" w:lineRule="auto"/>
        <w:jc w:val="both"/>
        <w:rPr>
          <w:rFonts w:ascii="Arial" w:eastAsia="Times New Roman" w:hAnsi="Arial" w:cs="Arial"/>
          <w:sz w:val="20"/>
          <w:szCs w:val="20"/>
        </w:rPr>
      </w:pPr>
    </w:p>
    <w:p w14:paraId="7D026B64" w14:textId="60DEE8F1" w:rsidR="00433484" w:rsidRDefault="00433484" w:rsidP="00DD160F">
      <w:pPr>
        <w:spacing w:after="0" w:line="240" w:lineRule="auto"/>
        <w:jc w:val="both"/>
        <w:rPr>
          <w:rFonts w:ascii="Arial" w:eastAsia="Times New Roman" w:hAnsi="Arial" w:cs="Arial"/>
          <w:sz w:val="20"/>
          <w:szCs w:val="20"/>
        </w:rPr>
      </w:pPr>
    </w:p>
    <w:p w14:paraId="629B4B14" w14:textId="77777777" w:rsidR="00433484" w:rsidRPr="002A2CAF" w:rsidRDefault="00433484"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96"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96"/>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09D0A11" w14:textId="09BFF101" w:rsidR="00D313DC" w:rsidRPr="002A2CAF" w:rsidDel="00A95D33" w:rsidRDefault="00D313DC" w:rsidP="00D313DC">
            <w:pPr>
              <w:widowControl w:val="0"/>
              <w:numPr>
                <w:ilvl w:val="0"/>
                <w:numId w:val="57"/>
              </w:numPr>
              <w:tabs>
                <w:tab w:val="left" w:pos="341"/>
                <w:tab w:val="left" w:pos="1134"/>
                <w:tab w:val="left" w:pos="1276"/>
              </w:tabs>
              <w:spacing w:after="0" w:line="240" w:lineRule="auto"/>
              <w:ind w:left="341" w:hanging="341"/>
              <w:contextualSpacing/>
              <w:rPr>
                <w:del w:id="97" w:author="Autor"/>
                <w:rFonts w:ascii="Arial" w:eastAsia="Arial" w:hAnsi="Arial" w:cs="Arial"/>
                <w:color w:val="000000"/>
                <w:sz w:val="20"/>
                <w:szCs w:val="20"/>
              </w:rPr>
            </w:pPr>
            <w:del w:id="98" w:author="Autor">
              <w:r w:rsidRPr="002A2CAF" w:rsidDel="00A95D33">
                <w:rPr>
                  <w:rFonts w:ascii="Arial" w:eastAsia="Arial" w:hAnsi="Arial" w:cs="Arial"/>
                  <w:color w:val="000000"/>
                  <w:sz w:val="20"/>
                  <w:szCs w:val="20"/>
                </w:rPr>
                <w:delText xml:space="preserve">alebo 2 x žeriav </w:delText>
              </w:r>
            </w:del>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479F3840" w14:textId="28F18521" w:rsidR="009373D5" w:rsidRPr="002A2CAF" w:rsidRDefault="009373D5" w:rsidP="009373D5">
      <w:pPr>
        <w:tabs>
          <w:tab w:val="left" w:pos="0"/>
        </w:tabs>
        <w:spacing w:after="0" w:line="240" w:lineRule="auto"/>
        <w:jc w:val="center"/>
        <w:rPr>
          <w:rFonts w:ascii="Arial" w:eastAsia="Times New Roman" w:hAnsi="Arial" w:cs="Arial"/>
          <w:b/>
          <w:sz w:val="24"/>
          <w:szCs w:val="24"/>
        </w:rPr>
      </w:pPr>
      <w:bookmarkStart w:id="99" w:name="_Hlk173418243"/>
      <w:bookmarkStart w:id="100" w:name="_Hlk173418976"/>
      <w:r w:rsidRPr="002A2CAF">
        <w:rPr>
          <w:rFonts w:ascii="Arial" w:eastAsia="Times New Roman" w:hAnsi="Arial" w:cs="Arial"/>
          <w:b/>
          <w:sz w:val="24"/>
          <w:szCs w:val="24"/>
        </w:rPr>
        <w:lastRenderedPageBreak/>
        <w:t>PRÍLOHA B12 ČESTNÉ VYHLÁSENIE PODĽA ČLÁNKU 5k NARIADENIA RADY (EÚ) č. 833/2014 z 31. júla 2014 O REŠTRIKTÍVNYCH OPATRENIACH S OHĽADOM NA KONANIE RUSKA, KTORÝM DESTABILIZUJE SITUÁCIU NA UKRAJINE V ZNENÍ NARIADENIA RADY (EÚ) č. 2022/578 z 8. apríla 2022</w:t>
      </w:r>
    </w:p>
    <w:bookmarkEnd w:id="99"/>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100"/>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378F8890"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447F978" w14:textId="69B52521"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t>subjekty uvedené v písmenách a) až c) nemajú účasť vyššiu ako 10 % hodnoty zákazky v subdodávateľovi, dodávateľovi alebo v subjekte, na ktorého kapacity sa dodávateľ, ktorého zastupujem spolieha.</w:t>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971672" w:rsidRDefault="00971672" w:rsidP="00B538C0">
      <w:r>
        <w:separator/>
      </w:r>
    </w:p>
  </w:endnote>
  <w:endnote w:type="continuationSeparator" w:id="0">
    <w:p w14:paraId="30792C08" w14:textId="77777777" w:rsidR="00971672" w:rsidRDefault="0097167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3A6847AE" w:rsidR="00971672" w:rsidRPr="00D05744" w:rsidRDefault="00971672"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70</w:t>
    </w:r>
    <w:r w:rsidRPr="00D05744">
      <w:rPr>
        <w:rStyle w:val="slostrany"/>
        <w:rFonts w:ascii="Arial" w:hAnsi="Arial" w:cs="Arial"/>
        <w:sz w:val="18"/>
        <w:szCs w:val="18"/>
      </w:rPr>
      <w:fldChar w:fldCharType="end"/>
    </w:r>
  </w:p>
  <w:p w14:paraId="51D848CD" w14:textId="3F4D83CF" w:rsidR="00971672" w:rsidRPr="00D05744" w:rsidRDefault="00971672"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971672" w:rsidRDefault="00971672" w:rsidP="00B538C0">
      <w:r>
        <w:separator/>
      </w:r>
    </w:p>
  </w:footnote>
  <w:footnote w:type="continuationSeparator" w:id="0">
    <w:p w14:paraId="09695599" w14:textId="77777777" w:rsidR="00971672" w:rsidRDefault="00971672" w:rsidP="00B538C0">
      <w:r>
        <w:continuationSeparator/>
      </w:r>
    </w:p>
  </w:footnote>
  <w:footnote w:id="1">
    <w:p w14:paraId="4149F8E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71672" w:rsidRPr="002E07C8" w:rsidRDefault="00971672"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71672" w:rsidRPr="002E07C8" w:rsidRDefault="00971672"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971672" w:rsidRPr="009657AF" w:rsidRDefault="00971672"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971672" w:rsidRPr="002E07C8" w:rsidRDefault="00971672"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971672" w:rsidRDefault="00971672" w:rsidP="00BD3D04">
      <w:pPr>
        <w:pStyle w:val="Textpoznmkypodiarou"/>
      </w:pPr>
    </w:p>
  </w:footnote>
  <w:footnote w:id="7">
    <w:p w14:paraId="5471E46C" w14:textId="77777777" w:rsidR="00971672" w:rsidRPr="002E07C8" w:rsidRDefault="00971672"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971672" w:rsidRPr="006C6EB1" w:rsidRDefault="00971672"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971672" w:rsidRPr="006C6EB1" w:rsidRDefault="00971672"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971672" w:rsidRPr="006C6EB1" w:rsidRDefault="00971672"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971672" w:rsidRPr="006C6EB1" w:rsidRDefault="00971672"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971672" w:rsidRPr="006C6EB1" w:rsidRDefault="00971672"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971672" w:rsidRPr="006C6EB1" w:rsidRDefault="00971672"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971672" w:rsidRPr="006C6EB1" w:rsidRDefault="00971672"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971672" w:rsidRPr="006C6EB1" w:rsidRDefault="00971672" w:rsidP="001435F6">
      <w:pPr>
        <w:jc w:val="both"/>
        <w:rPr>
          <w:rFonts w:ascii="Arial" w:hAnsi="Arial" w:cs="Arial"/>
        </w:rPr>
      </w:pPr>
    </w:p>
  </w:footnote>
  <w:footnote w:id="31">
    <w:p w14:paraId="7602B9C0" w14:textId="77777777" w:rsidR="00971672" w:rsidRDefault="00971672"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971672" w:rsidRDefault="00971672"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971672" w:rsidRPr="006C6EB1" w:rsidRDefault="00971672"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971672" w:rsidRDefault="00971672"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971672" w:rsidRDefault="00971672" w:rsidP="001435F6">
      <w:pPr>
        <w:pStyle w:val="Textpoznmkypodiarou"/>
      </w:pPr>
    </w:p>
  </w:footnote>
  <w:footnote w:id="39">
    <w:p w14:paraId="156B4BC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971672" w:rsidRDefault="00971672" w:rsidP="001435F6">
      <w:pPr>
        <w:pStyle w:val="Textpoznmkypodiarou"/>
        <w:jc w:val="both"/>
      </w:pPr>
    </w:p>
  </w:footnote>
  <w:footnote w:id="40">
    <w:p w14:paraId="72B667DF"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971672" w:rsidRPr="006C6EB1" w:rsidRDefault="00971672"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971672" w:rsidRDefault="00971672" w:rsidP="001435F6">
      <w:pPr>
        <w:pStyle w:val="Textpoznmkypodiarou"/>
        <w:jc w:val="both"/>
      </w:pPr>
    </w:p>
  </w:footnote>
  <w:footnote w:id="50">
    <w:p w14:paraId="5B8269BB" w14:textId="77777777" w:rsidR="00971672" w:rsidRDefault="00971672"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971672" w:rsidRDefault="00971672">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971672" w:rsidRPr="00911733" w:rsidRDefault="00971672"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971672" w:rsidRPr="00D05744" w:rsidRDefault="00971672"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971672" w:rsidRPr="006959C1" w:rsidRDefault="0097167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B69"/>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089"/>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1570"/>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1C5"/>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672"/>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D33"/>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33F"/>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6.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47" Type="http://schemas.openxmlformats.org/officeDocument/2006/relationships/control" Target="activeX/activeX16.xml"/><Relationship Id="rId63" Type="http://schemas.openxmlformats.org/officeDocument/2006/relationships/control" Target="activeX/activeX29.xml"/><Relationship Id="rId68" Type="http://schemas.openxmlformats.org/officeDocument/2006/relationships/control" Target="activeX/activeX34.xml"/><Relationship Id="rId84" Type="http://schemas.openxmlformats.org/officeDocument/2006/relationships/control" Target="activeX/activeX48.xml"/><Relationship Id="rId89" Type="http://schemas.openxmlformats.org/officeDocument/2006/relationships/control" Target="activeX/activeX53.xml"/><Relationship Id="rId112" Type="http://schemas.openxmlformats.org/officeDocument/2006/relationships/image" Target="media/image19.wmf"/><Relationship Id="rId16" Type="http://schemas.openxmlformats.org/officeDocument/2006/relationships/hyperlink" Target="https://josephine.proebiz.com/" TargetMode="External"/><Relationship Id="rId107" Type="http://schemas.openxmlformats.org/officeDocument/2006/relationships/control" Target="activeX/activeX68.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5.xml"/><Relationship Id="rId37" Type="http://schemas.openxmlformats.org/officeDocument/2006/relationships/control" Target="activeX/activeX8.xml"/><Relationship Id="rId53" Type="http://schemas.openxmlformats.org/officeDocument/2006/relationships/control" Target="activeX/activeX21.xml"/><Relationship Id="rId58" Type="http://schemas.openxmlformats.org/officeDocument/2006/relationships/control" Target="activeX/activeX26.xml"/><Relationship Id="rId74" Type="http://schemas.openxmlformats.org/officeDocument/2006/relationships/control" Target="activeX/activeX40.xml"/><Relationship Id="rId79" Type="http://schemas.openxmlformats.org/officeDocument/2006/relationships/control" Target="activeX/activeX44.xml"/><Relationship Id="rId102" Type="http://schemas.openxmlformats.org/officeDocument/2006/relationships/control" Target="activeX/activeX65.xml"/><Relationship Id="rId123"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control" Target="activeX/activeX28.xml"/><Relationship Id="rId82" Type="http://schemas.openxmlformats.org/officeDocument/2006/relationships/image" Target="media/image14.wmf"/><Relationship Id="rId90" Type="http://schemas.openxmlformats.org/officeDocument/2006/relationships/control" Target="activeX/activeX54.xml"/><Relationship Id="rId95" Type="http://schemas.openxmlformats.org/officeDocument/2006/relationships/control" Target="activeX/activeX58.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control" Target="activeX/activeX7.xml"/><Relationship Id="rId43" Type="http://schemas.openxmlformats.org/officeDocument/2006/relationships/control" Target="activeX/activeX12.xml"/><Relationship Id="rId48" Type="http://schemas.openxmlformats.org/officeDocument/2006/relationships/control" Target="activeX/activeX17.xml"/><Relationship Id="rId56" Type="http://schemas.openxmlformats.org/officeDocument/2006/relationships/control" Target="activeX/activeX24.xml"/><Relationship Id="rId64" Type="http://schemas.openxmlformats.org/officeDocument/2006/relationships/control" Target="activeX/activeX30.xml"/><Relationship Id="rId69" Type="http://schemas.openxmlformats.org/officeDocument/2006/relationships/control" Target="activeX/activeX35.xml"/><Relationship Id="rId77" Type="http://schemas.openxmlformats.org/officeDocument/2006/relationships/control" Target="activeX/activeX42.xml"/><Relationship Id="rId100" Type="http://schemas.openxmlformats.org/officeDocument/2006/relationships/control" Target="activeX/activeX63.xml"/><Relationship Id="rId105" Type="http://schemas.openxmlformats.org/officeDocument/2006/relationships/control" Target="activeX/activeX67.xml"/><Relationship Id="rId113" Type="http://schemas.openxmlformats.org/officeDocument/2006/relationships/control" Target="activeX/activeX72.xml"/><Relationship Id="rId118" Type="http://schemas.openxmlformats.org/officeDocument/2006/relationships/control" Target="activeX/activeX77.xml"/><Relationship Id="rId12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10.wmf"/><Relationship Id="rId72" Type="http://schemas.openxmlformats.org/officeDocument/2006/relationships/control" Target="activeX/activeX38.xml"/><Relationship Id="rId80" Type="http://schemas.openxmlformats.org/officeDocument/2006/relationships/control" Target="activeX/activeX45.xml"/><Relationship Id="rId85" Type="http://schemas.openxmlformats.org/officeDocument/2006/relationships/control" Target="activeX/activeX49.xml"/><Relationship Id="rId93" Type="http://schemas.openxmlformats.org/officeDocument/2006/relationships/control" Target="activeX/activeX56.xml"/><Relationship Id="rId98" Type="http://schemas.openxmlformats.org/officeDocument/2006/relationships/control" Target="activeX/activeX61.xml"/><Relationship Id="rId121" Type="http://schemas.openxmlformats.org/officeDocument/2006/relationships/control" Target="activeX/activeX79.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6.xml"/><Relationship Id="rId38" Type="http://schemas.openxmlformats.org/officeDocument/2006/relationships/control" Target="activeX/activeX9.xml"/><Relationship Id="rId46" Type="http://schemas.openxmlformats.org/officeDocument/2006/relationships/control" Target="activeX/activeX15.xml"/><Relationship Id="rId59" Type="http://schemas.openxmlformats.org/officeDocument/2006/relationships/image" Target="media/image11.wmf"/><Relationship Id="rId67" Type="http://schemas.openxmlformats.org/officeDocument/2006/relationships/control" Target="activeX/activeX33.xml"/><Relationship Id="rId103" Type="http://schemas.openxmlformats.org/officeDocument/2006/relationships/control" Target="activeX/activeX66.xml"/><Relationship Id="rId108" Type="http://schemas.openxmlformats.org/officeDocument/2006/relationships/control" Target="activeX/activeX69.xml"/><Relationship Id="rId116" Type="http://schemas.openxmlformats.org/officeDocument/2006/relationships/control" Target="activeX/activeX75.xml"/><Relationship Id="rId124" Type="http://schemas.openxmlformats.org/officeDocument/2006/relationships/header" Target="header2.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54" Type="http://schemas.openxmlformats.org/officeDocument/2006/relationships/control" Target="activeX/activeX22.xml"/><Relationship Id="rId62" Type="http://schemas.openxmlformats.org/officeDocument/2006/relationships/image" Target="media/image12.wmf"/><Relationship Id="rId70" Type="http://schemas.openxmlformats.org/officeDocument/2006/relationships/control" Target="activeX/activeX36.xml"/><Relationship Id="rId75" Type="http://schemas.openxmlformats.org/officeDocument/2006/relationships/control" Target="activeX/activeX41.xml"/><Relationship Id="rId83" Type="http://schemas.openxmlformats.org/officeDocument/2006/relationships/control" Target="activeX/activeX47.xml"/><Relationship Id="rId88" Type="http://schemas.openxmlformats.org/officeDocument/2006/relationships/control" Target="activeX/activeX52.xml"/><Relationship Id="rId91" Type="http://schemas.openxmlformats.org/officeDocument/2006/relationships/image" Target="media/image15.wmf"/><Relationship Id="rId96" Type="http://schemas.openxmlformats.org/officeDocument/2006/relationships/control" Target="activeX/activeX59.xml"/><Relationship Id="rId111" Type="http://schemas.openxmlformats.org/officeDocument/2006/relationships/control" Target="activeX/activeX7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image" Target="media/image7.wmf"/><Relationship Id="rId49" Type="http://schemas.openxmlformats.org/officeDocument/2006/relationships/control" Target="activeX/activeX18.xml"/><Relationship Id="rId57" Type="http://schemas.openxmlformats.org/officeDocument/2006/relationships/control" Target="activeX/activeX25.xml"/><Relationship Id="rId106" Type="http://schemas.openxmlformats.org/officeDocument/2006/relationships/image" Target="media/image17.wmf"/><Relationship Id="rId114" Type="http://schemas.openxmlformats.org/officeDocument/2006/relationships/control" Target="activeX/activeX73.xml"/><Relationship Id="rId119" Type="http://schemas.openxmlformats.org/officeDocument/2006/relationships/image" Target="media/image20.wmf"/><Relationship Id="rId10" Type="http://schemas.openxmlformats.org/officeDocument/2006/relationships/hyperlink" Target="https://www.uvo.gov.sk/vyhladavanie/vyhladavanie-profilov/detail/9127" TargetMode="External"/><Relationship Id="rId31" Type="http://schemas.openxmlformats.org/officeDocument/2006/relationships/image" Target="media/image5.wmf"/><Relationship Id="rId44" Type="http://schemas.openxmlformats.org/officeDocument/2006/relationships/control" Target="activeX/activeX13.xml"/><Relationship Id="rId52" Type="http://schemas.openxmlformats.org/officeDocument/2006/relationships/control" Target="activeX/activeX20.xml"/><Relationship Id="rId60" Type="http://schemas.openxmlformats.org/officeDocument/2006/relationships/control" Target="activeX/activeX27.xml"/><Relationship Id="rId65" Type="http://schemas.openxmlformats.org/officeDocument/2006/relationships/control" Target="activeX/activeX31.xml"/><Relationship Id="rId73" Type="http://schemas.openxmlformats.org/officeDocument/2006/relationships/control" Target="activeX/activeX39.xml"/><Relationship Id="rId78" Type="http://schemas.openxmlformats.org/officeDocument/2006/relationships/control" Target="activeX/activeX43.xml"/><Relationship Id="rId81" Type="http://schemas.openxmlformats.org/officeDocument/2006/relationships/control" Target="activeX/activeX46.xml"/><Relationship Id="rId86" Type="http://schemas.openxmlformats.org/officeDocument/2006/relationships/control" Target="activeX/activeX50.xml"/><Relationship Id="rId94" Type="http://schemas.openxmlformats.org/officeDocument/2006/relationships/control" Target="activeX/activeX57.xml"/><Relationship Id="rId99" Type="http://schemas.openxmlformats.org/officeDocument/2006/relationships/control" Target="activeX/activeX62.xml"/><Relationship Id="rId101" Type="http://schemas.openxmlformats.org/officeDocument/2006/relationships/control" Target="activeX/activeX64.xml"/><Relationship Id="rId12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image" Target="media/image18.wmf"/><Relationship Id="rId34" Type="http://schemas.openxmlformats.org/officeDocument/2006/relationships/image" Target="media/image6.wmf"/><Relationship Id="rId50" Type="http://schemas.openxmlformats.org/officeDocument/2006/relationships/control" Target="activeX/activeX19.xml"/><Relationship Id="rId55" Type="http://schemas.openxmlformats.org/officeDocument/2006/relationships/control" Target="activeX/activeX23.xml"/><Relationship Id="rId76" Type="http://schemas.openxmlformats.org/officeDocument/2006/relationships/image" Target="media/image13.wmf"/><Relationship Id="rId97" Type="http://schemas.openxmlformats.org/officeDocument/2006/relationships/control" Target="activeX/activeX60.xml"/><Relationship Id="rId104" Type="http://schemas.openxmlformats.org/officeDocument/2006/relationships/image" Target="media/image16.wmf"/><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hyperlink" Target="http://www.ndsas.sk/" TargetMode="External"/><Relationship Id="rId71" Type="http://schemas.openxmlformats.org/officeDocument/2006/relationships/control" Target="activeX/activeX37.xml"/><Relationship Id="rId92" Type="http://schemas.openxmlformats.org/officeDocument/2006/relationships/control" Target="activeX/activeX55.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control" Target="activeX/activeX14.xml"/><Relationship Id="rId66" Type="http://schemas.openxmlformats.org/officeDocument/2006/relationships/control" Target="activeX/activeX32.xml"/><Relationship Id="rId87" Type="http://schemas.openxmlformats.org/officeDocument/2006/relationships/control" Target="activeX/activeX51.xml"/><Relationship Id="rId110" Type="http://schemas.openxmlformats.org/officeDocument/2006/relationships/control" Target="activeX/activeX70.xml"/><Relationship Id="rId115" Type="http://schemas.openxmlformats.org/officeDocument/2006/relationships/control" Target="activeX/activeX7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29462</Words>
  <Characters>167940</Characters>
  <Application>Microsoft Office Word</Application>
  <DocSecurity>0</DocSecurity>
  <Lines>1399</Lines>
  <Paragraphs>394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197008</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2024-08-07T06:59:00Z</dcterms:created>
  <dcterms:modified xsi:type="dcterms:W3CDTF">2024-09-06T08:24:00Z</dcterms:modified>
</cp:coreProperties>
</file>